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9781"/>
      </w:tblGrid>
      <w:tr w:rsidR="00763C82" w14:paraId="3037F385" w14:textId="77777777">
        <w:trPr>
          <w:trHeight w:val="567"/>
        </w:trPr>
        <w:tc>
          <w:tcPr>
            <w:tcW w:w="9781" w:type="dxa"/>
          </w:tcPr>
          <w:p w14:paraId="0DC9B27C" w14:textId="77777777" w:rsidR="00763C82" w:rsidRDefault="00177004">
            <w:pPr>
              <w:widowControl w:val="0"/>
              <w:jc w:val="center"/>
              <w:rPr>
                <w:b/>
                <w:color w:val="000000" w:themeColor="text1"/>
                <w:lang w:eastAsia="zh-CN"/>
              </w:rPr>
            </w:pPr>
            <w:r>
              <w:rPr>
                <w:b/>
                <w:color w:val="000000" w:themeColor="text1"/>
                <w:lang w:eastAsia="zh-CN"/>
              </w:rPr>
              <w:t>Аналіз регуляторного впливу</w:t>
            </w:r>
          </w:p>
          <w:p w14:paraId="0DD0E4F7" w14:textId="77777777" w:rsidR="00763C82" w:rsidRDefault="00177004">
            <w:pPr>
              <w:jc w:val="center"/>
              <w:rPr>
                <w:b/>
                <w:color w:val="000000" w:themeColor="text1"/>
                <w:lang w:eastAsia="zh-CN"/>
              </w:rPr>
            </w:pPr>
            <w:r>
              <w:rPr>
                <w:b/>
                <w:color w:val="000000" w:themeColor="text1"/>
                <w:lang w:eastAsia="zh-CN"/>
              </w:rPr>
              <w:t>проєкту</w:t>
            </w:r>
            <w:r>
              <w:rPr>
                <w:b/>
                <w:color w:val="000000" w:themeColor="text1"/>
                <w:lang w:eastAsia="ru-RU"/>
              </w:rPr>
              <w:t xml:space="preserve"> </w:t>
            </w:r>
            <w:bookmarkStart w:id="0" w:name="_Hlk90394091"/>
            <w:r>
              <w:rPr>
                <w:b/>
                <w:color w:val="000000" w:themeColor="text1"/>
                <w:lang w:eastAsia="zh-CN"/>
              </w:rPr>
              <w:t xml:space="preserve">постанови Правління Національного банку України </w:t>
            </w:r>
          </w:p>
          <w:p w14:paraId="21EC87C3" w14:textId="77777777" w:rsidR="00763C82" w:rsidRDefault="00177004">
            <w:pPr>
              <w:jc w:val="center"/>
              <w:rPr>
                <w:b/>
                <w:color w:val="000000" w:themeColor="text1"/>
                <w:lang w:eastAsia="zh-CN"/>
              </w:rPr>
            </w:pPr>
            <w:r>
              <w:rPr>
                <w:b/>
                <w:color w:val="000000" w:themeColor="text1"/>
                <w:lang w:eastAsia="zh-CN"/>
              </w:rPr>
              <w:t>“Про затвердження Положення про взаємодію фінансових компаній та кредитних спілок з Національним банком України щодо Кредитного реєстру Національного банку України”</w:t>
            </w:r>
          </w:p>
          <w:bookmarkEnd w:id="0"/>
          <w:p w14:paraId="0A2107E1" w14:textId="77777777" w:rsidR="00763C82" w:rsidRDefault="00763C82">
            <w:pPr>
              <w:jc w:val="center"/>
              <w:rPr>
                <w:color w:val="000000" w:themeColor="text1"/>
              </w:rPr>
            </w:pPr>
          </w:p>
        </w:tc>
      </w:tr>
    </w:tbl>
    <w:p w14:paraId="6D85F24E" w14:textId="77777777" w:rsidR="00763C82" w:rsidRDefault="00177004" w:rsidP="009E67D1">
      <w:pPr>
        <w:widowControl w:val="0"/>
        <w:ind w:firstLine="567"/>
        <w:rPr>
          <w:b/>
          <w:color w:val="000000" w:themeColor="text1"/>
          <w:lang w:eastAsia="zh-CN"/>
        </w:rPr>
      </w:pPr>
      <w:r>
        <w:rPr>
          <w:b/>
          <w:color w:val="000000" w:themeColor="text1"/>
          <w:lang w:eastAsia="zh-CN"/>
        </w:rPr>
        <w:t>І. Визначення проблеми, яку передбачається розв’язати шляхом державного регулювання</w:t>
      </w:r>
    </w:p>
    <w:p w14:paraId="46AD94FE" w14:textId="77777777" w:rsidR="00763C82" w:rsidRDefault="00177004" w:rsidP="009E67D1">
      <w:pPr>
        <w:widowControl w:val="0"/>
        <w:ind w:firstLine="567"/>
        <w:rPr>
          <w:color w:val="000000" w:themeColor="text1"/>
          <w:lang w:eastAsia="en-US"/>
        </w:rPr>
      </w:pPr>
      <w:r>
        <w:rPr>
          <w:color w:val="000000" w:themeColor="text1"/>
          <w:lang w:eastAsia="en-US"/>
        </w:rPr>
        <w:t>Відповідно до пункту 8</w:t>
      </w:r>
      <w:r>
        <w:rPr>
          <w:color w:val="000000" w:themeColor="text1"/>
          <w:vertAlign w:val="superscript"/>
          <w:lang w:eastAsia="en-US"/>
        </w:rPr>
        <w:t>1</w:t>
      </w:r>
      <w:r>
        <w:rPr>
          <w:color w:val="000000" w:themeColor="text1"/>
          <w:lang w:eastAsia="en-US"/>
        </w:rPr>
        <w:t xml:space="preserve"> статті 7 розділу І Закону України “Про Національний банк України” Національний банк України (далі – Національний банк) здійснює державне регулювання та нагляд на індивідуальній та консолідованій основі на ринках небанківських фінансових послуг за діяльністю небанківських фінансових установ та інших осіб, які не є фінансовими установами, але мають право надавати окремі фінансові послуги (далі – </w:t>
      </w:r>
      <w:r>
        <w:rPr>
          <w:color w:val="000000" w:themeColor="text1"/>
          <w:szCs w:val="24"/>
        </w:rPr>
        <w:t>учасники ринку небанківських фінансових послуг</w:t>
      </w:r>
      <w:r>
        <w:rPr>
          <w:color w:val="000000" w:themeColor="text1"/>
          <w:lang w:eastAsia="en-US"/>
        </w:rPr>
        <w:t>)</w:t>
      </w:r>
      <w:r>
        <w:rPr>
          <w:color w:val="000000" w:themeColor="dark1"/>
          <w:lang w:eastAsia="en-US"/>
        </w:rPr>
        <w:t>,</w:t>
      </w:r>
      <w:r>
        <w:rPr>
          <w:color w:val="000000" w:themeColor="text1"/>
          <w:lang w:eastAsia="en-US"/>
        </w:rPr>
        <w:t xml:space="preserve"> у межах, визначених Законом України “Про фінансові послуги та державне регулювання ринків фінансових послуг”, та іншими законами України.</w:t>
      </w:r>
    </w:p>
    <w:p w14:paraId="0C39BB74" w14:textId="1C44F948" w:rsidR="00763C82" w:rsidRDefault="00177004" w:rsidP="009E67D1">
      <w:pPr>
        <w:widowControl w:val="0"/>
        <w:ind w:firstLine="567"/>
        <w:rPr>
          <w:color w:val="000000" w:themeColor="text1"/>
          <w:szCs w:val="24"/>
        </w:rPr>
      </w:pPr>
      <w:r>
        <w:rPr>
          <w:color w:val="000000" w:themeColor="text1"/>
          <w:lang w:eastAsia="en-US"/>
        </w:rPr>
        <w:t xml:space="preserve">З </w:t>
      </w:r>
      <w:r>
        <w:rPr>
          <w:color w:val="000000" w:themeColor="text1"/>
          <w:szCs w:val="24"/>
          <w:lang w:val="ru-RU"/>
        </w:rPr>
        <w:t xml:space="preserve">01.01.2024 </w:t>
      </w:r>
      <w:r w:rsidR="00D11A7C">
        <w:rPr>
          <w:color w:val="000000" w:themeColor="text1"/>
          <w:szCs w:val="24"/>
          <w:lang w:val="ru-RU"/>
        </w:rPr>
        <w:t>у</w:t>
      </w:r>
      <w:r>
        <w:rPr>
          <w:color w:val="000000" w:themeColor="text1"/>
          <w:szCs w:val="24"/>
        </w:rPr>
        <w:t xml:space="preserve">водиться в дію </w:t>
      </w:r>
      <w:r>
        <w:rPr>
          <w:color w:val="000000" w:themeColor="text1"/>
          <w:szCs w:val="24"/>
          <w:lang w:val="ru-RU"/>
        </w:rPr>
        <w:t xml:space="preserve">Закон України </w:t>
      </w:r>
      <w:r w:rsidR="00FA2156">
        <w:rPr>
          <w:color w:val="000000" w:themeColor="text1"/>
          <w:szCs w:val="24"/>
          <w:lang w:val="ru-RU"/>
        </w:rPr>
        <w:t xml:space="preserve">від 14.12.2021 № 1953-IX </w:t>
      </w:r>
      <w:r>
        <w:rPr>
          <w:color w:val="000000" w:themeColor="text1"/>
          <w:szCs w:val="24"/>
          <w:lang w:val="ru-RU"/>
        </w:rPr>
        <w:t xml:space="preserve">“Про фінансові послуги та фінансові компанії” (далі </w:t>
      </w:r>
      <w:r w:rsidR="00D11A7C">
        <w:rPr>
          <w:color w:val="000000" w:themeColor="text1"/>
          <w:szCs w:val="24"/>
          <w:lang w:val="ru-RU"/>
        </w:rPr>
        <w:t>−</w:t>
      </w:r>
      <w:r>
        <w:rPr>
          <w:color w:val="000000" w:themeColor="text1"/>
          <w:szCs w:val="24"/>
          <w:lang w:val="ru-RU"/>
        </w:rPr>
        <w:t xml:space="preserve"> Закон). Законом встановлено, що фінансові компанії, що мають право надавати хоча б одну з фінансових послуг, передбачених </w:t>
      </w:r>
      <w:r w:rsidR="00306CE9">
        <w:rPr>
          <w:color w:val="000000" w:themeColor="text1"/>
          <w:szCs w:val="24"/>
          <w:lang w:val="ru-RU"/>
        </w:rPr>
        <w:t xml:space="preserve">у пунктах </w:t>
      </w:r>
      <w:r>
        <w:rPr>
          <w:color w:val="000000" w:themeColor="text1"/>
          <w:szCs w:val="24"/>
          <w:lang w:val="ru-RU"/>
        </w:rPr>
        <w:t>1</w:t>
      </w:r>
      <w:r w:rsidR="00306CE9">
        <w:rPr>
          <w:color w:val="000000" w:themeColor="text1"/>
          <w:szCs w:val="24"/>
          <w:lang w:val="ru-RU"/>
        </w:rPr>
        <w:t>−</w:t>
      </w:r>
      <w:r>
        <w:rPr>
          <w:color w:val="000000" w:themeColor="text1"/>
          <w:szCs w:val="24"/>
          <w:lang w:val="ru-RU"/>
        </w:rPr>
        <w:t xml:space="preserve">4 частини першої статті 29 Закону (далі – фінансові компанії), подають та отримують інформацію з Кредитного реєстру Національного банку (далі – Кредитний реєстр) відповідно до Закону та в порядку, встановленому нормативно-правовими актами Національного банку. Додатково з 01.01.2024 </w:t>
      </w:r>
      <w:r w:rsidR="00306CE9">
        <w:rPr>
          <w:color w:val="000000" w:themeColor="text1"/>
          <w:szCs w:val="24"/>
          <w:lang w:val="ru-RU"/>
        </w:rPr>
        <w:t>у</w:t>
      </w:r>
      <w:r>
        <w:rPr>
          <w:color w:val="000000" w:themeColor="text1"/>
          <w:szCs w:val="24"/>
          <w:lang w:val="ru-RU"/>
        </w:rPr>
        <w:t xml:space="preserve">водиться в дію Закон України </w:t>
      </w:r>
      <w:r w:rsidR="00FA2156">
        <w:rPr>
          <w:color w:val="000000" w:themeColor="text1"/>
          <w:szCs w:val="24"/>
          <w:lang w:val="ru-RU"/>
        </w:rPr>
        <w:t xml:space="preserve">від 14.07.2023 № 3254-IX </w:t>
      </w:r>
      <w:r>
        <w:rPr>
          <w:color w:val="000000" w:themeColor="text1"/>
          <w:szCs w:val="24"/>
          <w:lang w:val="ru-RU"/>
        </w:rPr>
        <w:t xml:space="preserve">“Про кредитні спілки” (далі – Закон про кредитні спілки). Відповідно до </w:t>
      </w:r>
      <w:r w:rsidR="00216200">
        <w:rPr>
          <w:color w:val="000000" w:themeColor="text1"/>
          <w:szCs w:val="24"/>
          <w:lang w:val="ru-RU"/>
        </w:rPr>
        <w:t>статті </w:t>
      </w:r>
      <w:r>
        <w:rPr>
          <w:color w:val="000000" w:themeColor="text1"/>
          <w:szCs w:val="24"/>
          <w:lang w:val="ru-RU"/>
        </w:rPr>
        <w:t xml:space="preserve">45 Закону про кредитні спілки кредитна спілка подає до та отримує з Кредитного реєстру інформацію відповідно до Закону, Закону про кредитні спілки та нормативно-правових актів Національного банку. </w:t>
      </w:r>
      <w:r>
        <w:rPr>
          <w:color w:val="000000" w:themeColor="text1"/>
          <w:szCs w:val="24"/>
        </w:rPr>
        <w:t xml:space="preserve">Однак станом на сьогодні </w:t>
      </w:r>
      <w:r w:rsidR="00306CE9">
        <w:rPr>
          <w:color w:val="000000" w:themeColor="text1"/>
          <w:szCs w:val="24"/>
        </w:rPr>
        <w:t xml:space="preserve">немає </w:t>
      </w:r>
      <w:r>
        <w:rPr>
          <w:color w:val="000000" w:themeColor="text1"/>
          <w:szCs w:val="24"/>
        </w:rPr>
        <w:t>нормативно-правов</w:t>
      </w:r>
      <w:r w:rsidR="00306CE9">
        <w:rPr>
          <w:color w:val="000000" w:themeColor="text1"/>
          <w:szCs w:val="24"/>
        </w:rPr>
        <w:t>ого</w:t>
      </w:r>
      <w:r>
        <w:rPr>
          <w:color w:val="000000" w:themeColor="text1"/>
          <w:szCs w:val="24"/>
        </w:rPr>
        <w:t xml:space="preserve"> акт</w:t>
      </w:r>
      <w:r w:rsidR="00306CE9">
        <w:rPr>
          <w:color w:val="000000" w:themeColor="text1"/>
          <w:szCs w:val="24"/>
        </w:rPr>
        <w:t>а</w:t>
      </w:r>
      <w:r>
        <w:rPr>
          <w:color w:val="000000" w:themeColor="text1"/>
          <w:szCs w:val="24"/>
        </w:rPr>
        <w:t xml:space="preserve">, який визначає порядок такої взаємодії фінансових компаній та кредитних спілок з Національним банком щодо Кредитного реєстру. </w:t>
      </w:r>
    </w:p>
    <w:p w14:paraId="1DD90930" w14:textId="283CB1E6" w:rsidR="00763C82" w:rsidRDefault="00177004" w:rsidP="00D11A7C">
      <w:pPr>
        <w:widowControl w:val="0"/>
        <w:ind w:firstLine="567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Відповідно до підпункту </w:t>
      </w:r>
      <w:r w:rsidR="00FA2156">
        <w:rPr>
          <w:color w:val="000000" w:themeColor="text1"/>
          <w:szCs w:val="24"/>
        </w:rPr>
        <w:t xml:space="preserve">1 </w:t>
      </w:r>
      <w:r>
        <w:rPr>
          <w:color w:val="000000" w:themeColor="text1"/>
          <w:szCs w:val="24"/>
        </w:rPr>
        <w:t xml:space="preserve">пункту 30 </w:t>
      </w:r>
      <w:r>
        <w:rPr>
          <w:color w:val="000000" w:themeColor="text1"/>
          <w:szCs w:val="24"/>
          <w:lang w:val="ru-RU"/>
        </w:rPr>
        <w:t>р</w:t>
      </w:r>
      <w:r>
        <w:rPr>
          <w:color w:val="000000" w:themeColor="text1"/>
          <w:szCs w:val="24"/>
        </w:rPr>
        <w:t xml:space="preserve">озділу </w:t>
      </w:r>
      <w:r>
        <w:rPr>
          <w:color w:val="000000" w:themeColor="text1"/>
          <w:szCs w:val="24"/>
          <w:lang w:val="en-US"/>
        </w:rPr>
        <w:t>VII</w:t>
      </w:r>
      <w:r>
        <w:rPr>
          <w:color w:val="000000" w:themeColor="text1"/>
          <w:szCs w:val="24"/>
        </w:rPr>
        <w:t xml:space="preserve"> </w:t>
      </w:r>
      <w:r w:rsidR="00306CE9">
        <w:rPr>
          <w:color w:val="000000" w:themeColor="text1"/>
          <w:szCs w:val="24"/>
        </w:rPr>
        <w:t>“</w:t>
      </w:r>
      <w:r>
        <w:rPr>
          <w:color w:val="000000" w:themeColor="text1"/>
          <w:szCs w:val="24"/>
        </w:rPr>
        <w:t>Прикінцеві та перехідні положення</w:t>
      </w:r>
      <w:r w:rsidR="00306CE9">
        <w:rPr>
          <w:color w:val="000000" w:themeColor="text1"/>
          <w:szCs w:val="24"/>
        </w:rPr>
        <w:t>ˮ</w:t>
      </w:r>
      <w:r>
        <w:rPr>
          <w:color w:val="000000" w:themeColor="text1"/>
          <w:szCs w:val="24"/>
        </w:rPr>
        <w:t xml:space="preserve"> </w:t>
      </w:r>
      <w:r>
        <w:rPr>
          <w:color w:val="000000" w:themeColor="text1"/>
          <w:szCs w:val="24"/>
          <w:lang w:val="ru-RU"/>
        </w:rPr>
        <w:t xml:space="preserve">Закону </w:t>
      </w:r>
      <w:r>
        <w:rPr>
          <w:color w:val="000000" w:themeColor="text1"/>
          <w:szCs w:val="24"/>
        </w:rPr>
        <w:t>Національному банку рекомендовано до дня введення в дію Закону привести свої нормативно-правові акти у відповідність із Законом та забезпечити прийняття нормативно-правових актів, необхідних для його реалізації. Відповідно до пункту 16 розділ</w:t>
      </w:r>
      <w:r>
        <w:rPr>
          <w:color w:val="000000" w:themeColor="text1"/>
          <w:szCs w:val="24"/>
          <w:lang w:val="ru-RU"/>
        </w:rPr>
        <w:t>у</w:t>
      </w:r>
      <w:r>
        <w:rPr>
          <w:color w:val="000000" w:themeColor="text1"/>
          <w:szCs w:val="24"/>
        </w:rPr>
        <w:t xml:space="preserve"> XI </w:t>
      </w:r>
      <w:r w:rsidR="00306CE9">
        <w:rPr>
          <w:color w:val="000000" w:themeColor="text1"/>
          <w:szCs w:val="24"/>
        </w:rPr>
        <w:t>“</w:t>
      </w:r>
      <w:r>
        <w:rPr>
          <w:color w:val="000000" w:themeColor="text1"/>
          <w:szCs w:val="24"/>
        </w:rPr>
        <w:t>Прикінцеві та перехідні положення</w:t>
      </w:r>
      <w:r w:rsidR="00306CE9">
        <w:rPr>
          <w:color w:val="000000" w:themeColor="text1"/>
          <w:szCs w:val="24"/>
        </w:rPr>
        <w:t>ˮ</w:t>
      </w:r>
      <w:r>
        <w:rPr>
          <w:color w:val="000000" w:themeColor="text1"/>
          <w:szCs w:val="24"/>
        </w:rPr>
        <w:t xml:space="preserve"> Закону про кредитні спілки Національному банку </w:t>
      </w:r>
      <w:r>
        <w:rPr>
          <w:color w:val="000000" w:themeColor="text1"/>
          <w:szCs w:val="24"/>
          <w:lang w:val="ru-RU"/>
        </w:rPr>
        <w:t xml:space="preserve">до </w:t>
      </w:r>
      <w:r>
        <w:rPr>
          <w:color w:val="000000" w:themeColor="text1"/>
          <w:szCs w:val="24"/>
        </w:rPr>
        <w:t>дня введення в дію Закону про кредитні спілки рекомендовано забезпечити прийняття нормативно-правових актів, необхідних для реалізації Закону про кредитні спілки.</w:t>
      </w:r>
    </w:p>
    <w:p w14:paraId="2A424B2F" w14:textId="77AD31E9" w:rsidR="00763C82" w:rsidRDefault="00177004" w:rsidP="00D11A7C">
      <w:pPr>
        <w:widowControl w:val="0"/>
        <w:ind w:firstLine="567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Відповідно до пункту 23.2 доручення в</w:t>
      </w:r>
      <w:r w:rsidR="00306CE9">
        <w:rPr>
          <w:color w:val="000000" w:themeColor="text1"/>
          <w:szCs w:val="24"/>
        </w:rPr>
        <w:t>. </w:t>
      </w:r>
      <w:r>
        <w:rPr>
          <w:color w:val="000000" w:themeColor="text1"/>
          <w:szCs w:val="24"/>
        </w:rPr>
        <w:t>о. Голови Національного банку</w:t>
      </w:r>
      <w:r w:rsidR="00306CE9">
        <w:rPr>
          <w:color w:val="000000" w:themeColor="text1"/>
          <w:szCs w:val="24"/>
        </w:rPr>
        <w:t xml:space="preserve"> України</w:t>
      </w:r>
      <w:r>
        <w:rPr>
          <w:color w:val="000000" w:themeColor="text1"/>
          <w:szCs w:val="24"/>
        </w:rPr>
        <w:t xml:space="preserve"> від 06.10.2022 №</w:t>
      </w:r>
      <w:r w:rsidR="00306CE9">
        <w:rPr>
          <w:color w:val="000000" w:themeColor="text1"/>
          <w:szCs w:val="24"/>
        </w:rPr>
        <w:t> </w:t>
      </w:r>
      <w:r>
        <w:rPr>
          <w:color w:val="000000" w:themeColor="text1"/>
          <w:szCs w:val="24"/>
        </w:rPr>
        <w:t xml:space="preserve">12-д </w:t>
      </w:r>
      <w:r>
        <w:t xml:space="preserve">Департаменту методології регулювання діяльності небанківських фінансових установ доручено опрацювати нормативно-правові акти Національного банку і за потреби підготувати та </w:t>
      </w:r>
      <w:r>
        <w:lastRenderedPageBreak/>
        <w:t xml:space="preserve">подати на розгляд Правління Національного банку проєкт нормативно-правового акта Національного банку, що встановлює: 1) порядок подання та отримання інформації з Кредитного реєстру фінансовими компаніями, що мають право надавати хоча б одну з фінансових послуг, передбачених </w:t>
      </w:r>
      <w:r w:rsidR="002001B3">
        <w:t xml:space="preserve">у пунктах </w:t>
      </w:r>
      <w:r>
        <w:t>1</w:t>
      </w:r>
      <w:r w:rsidR="002001B3">
        <w:t>−</w:t>
      </w:r>
      <w:r>
        <w:t>4 частини першої статті 29 Закону; 2) обсяг інформації, яка подається фінансовою компанією до Кредитного реєстру; 3) порядок доступу фінансовим компаніям до інформації з Кредитного реєстру про кредитні операції.</w:t>
      </w:r>
    </w:p>
    <w:p w14:paraId="4C4B0E42" w14:textId="77777777" w:rsidR="00763C82" w:rsidRDefault="00177004" w:rsidP="00D11A7C">
      <w:pPr>
        <w:ind w:firstLine="567"/>
        <w:rPr>
          <w:color w:val="000000"/>
        </w:rPr>
      </w:pPr>
      <w:r>
        <w:rPr>
          <w:color w:val="000000"/>
        </w:rPr>
        <w:t xml:space="preserve">Зазначене </w:t>
      </w:r>
      <w:r w:rsidR="002001B3">
        <w:rPr>
          <w:color w:val="000000"/>
        </w:rPr>
        <w:t xml:space="preserve">вище </w:t>
      </w:r>
      <w:r>
        <w:rPr>
          <w:color w:val="000000"/>
        </w:rPr>
        <w:t xml:space="preserve">питання не може бути вирішене за допомогою ринкових механізмів, оскільки воно стосується реалізації повноважень Національного банку щодо </w:t>
      </w:r>
      <w:r>
        <w:rPr>
          <w:color w:val="000000" w:themeColor="text1"/>
          <w:lang w:eastAsia="en-US"/>
        </w:rPr>
        <w:t>державного регулювання діяльності небанківських фінансових установ та інших осіб, які не є фінансовими установами, але мають право надавати окремі фінансові послуги</w:t>
      </w:r>
      <w:r>
        <w:rPr>
          <w:color w:val="000000"/>
        </w:rPr>
        <w:t xml:space="preserve">. </w:t>
      </w:r>
    </w:p>
    <w:p w14:paraId="766EDF0D" w14:textId="77777777" w:rsidR="00763C82" w:rsidRDefault="00177004" w:rsidP="00D11A7C">
      <w:pPr>
        <w:widowControl w:val="0"/>
        <w:ind w:firstLine="567"/>
        <w:rPr>
          <w:color w:val="000000" w:themeColor="text1"/>
          <w:lang w:eastAsia="en-US"/>
        </w:rPr>
      </w:pPr>
      <w:r>
        <w:rPr>
          <w:color w:val="000000" w:themeColor="text1"/>
          <w:lang w:eastAsia="en-US"/>
        </w:rPr>
        <w:t>Отже, є потреба у врегулюванні вищезазначеного питання шляхом затвердження відповідного регуляторного акта Національного банку.</w:t>
      </w:r>
    </w:p>
    <w:p w14:paraId="166FF734" w14:textId="77777777" w:rsidR="00763C82" w:rsidRDefault="00763C82" w:rsidP="00D11A7C">
      <w:pPr>
        <w:widowControl w:val="0"/>
        <w:shd w:val="clear" w:color="auto" w:fill="FFFFFF"/>
        <w:ind w:firstLine="567"/>
        <w:rPr>
          <w:color w:val="000000" w:themeColor="text1"/>
          <w:lang w:eastAsia="zh-CN"/>
        </w:rPr>
      </w:pPr>
    </w:p>
    <w:p w14:paraId="606B3492" w14:textId="77777777" w:rsidR="00763C82" w:rsidRDefault="00177004" w:rsidP="00D11A7C">
      <w:pPr>
        <w:widowControl w:val="0"/>
        <w:ind w:firstLine="567"/>
        <w:rPr>
          <w:b/>
          <w:color w:val="000000" w:themeColor="text1"/>
          <w:lang w:eastAsia="zh-CN"/>
        </w:rPr>
      </w:pPr>
      <w:r>
        <w:rPr>
          <w:b/>
          <w:color w:val="000000" w:themeColor="text1"/>
          <w:lang w:eastAsia="zh-CN"/>
        </w:rPr>
        <w:t xml:space="preserve">ІІ. Визначення цілей державного регулювання </w:t>
      </w:r>
    </w:p>
    <w:p w14:paraId="0BCCA51A" w14:textId="77777777" w:rsidR="00763C82" w:rsidRDefault="00177004" w:rsidP="00D11A7C">
      <w:pPr>
        <w:widowControl w:val="0"/>
        <w:ind w:firstLine="567"/>
        <w:rPr>
          <w:color w:val="000000" w:themeColor="text1"/>
          <w:lang w:eastAsia="ru-RU"/>
        </w:rPr>
      </w:pPr>
      <w:r>
        <w:rPr>
          <w:color w:val="000000" w:themeColor="text1"/>
          <w:lang w:eastAsia="ru-RU"/>
        </w:rPr>
        <w:t xml:space="preserve">Цілями державного регулювання, що безпосередньо пов’язані з вирішенням зазначених проблем, є </w:t>
      </w:r>
      <w:r>
        <w:rPr>
          <w:color w:val="000000" w:themeColor="text1"/>
          <w:lang w:eastAsia="en-US"/>
        </w:rPr>
        <w:t>здійснення державного регулювання та нагляду на ринках небанківських фінансових послуг за діяльністю небанківських фінансових установ та інших осіб, які не є фінансовими установами, але мають право надавати окремі фінансові послуги</w:t>
      </w:r>
      <w:r>
        <w:rPr>
          <w:color w:val="000000" w:themeColor="dark1"/>
          <w:lang w:eastAsia="en-US"/>
        </w:rPr>
        <w:t>,</w:t>
      </w:r>
      <w:r>
        <w:rPr>
          <w:color w:val="000000" w:themeColor="text1"/>
          <w:lang w:eastAsia="en-US"/>
        </w:rPr>
        <w:t xml:space="preserve"> у межах, визначених Законом України “Про фінансові послуги та державне регулювання ринків фінансових послуг”, та іншими законами України.</w:t>
      </w:r>
    </w:p>
    <w:p w14:paraId="44E684AD" w14:textId="77777777" w:rsidR="00763C82" w:rsidRDefault="00177004" w:rsidP="00D11A7C">
      <w:pPr>
        <w:widowControl w:val="0"/>
        <w:ind w:firstLine="567"/>
        <w:rPr>
          <w:color w:val="000000" w:themeColor="text1"/>
          <w:lang w:eastAsia="zh-CN"/>
        </w:rPr>
      </w:pPr>
      <w:r>
        <w:rPr>
          <w:color w:val="000000" w:themeColor="text1"/>
          <w:lang w:eastAsia="zh-CN"/>
        </w:rPr>
        <w:t xml:space="preserve">Проєкт постанови </w:t>
      </w:r>
      <w:r>
        <w:rPr>
          <w:color w:val="000000" w:themeColor="text1"/>
          <w:lang w:eastAsia="ru-RU"/>
        </w:rPr>
        <w:t>Правління Національного банку “Про затвердження Положення про взаємодію фінансових компаній та кредитних спілок з Національним банком України щодо Кредитного реєстру Національного банку України</w:t>
      </w:r>
      <w:r>
        <w:rPr>
          <w:color w:val="000000" w:themeColor="text1"/>
          <w:szCs w:val="24"/>
        </w:rPr>
        <w:t>”</w:t>
      </w:r>
      <w:r>
        <w:rPr>
          <w:color w:val="000000" w:themeColor="text1"/>
          <w:lang w:eastAsia="ru-RU"/>
        </w:rPr>
        <w:t xml:space="preserve"> (далі – проєкт постанови)</w:t>
      </w:r>
      <w:r>
        <w:rPr>
          <w:b/>
          <w:color w:val="000000" w:themeColor="text1"/>
          <w:lang w:eastAsia="zh-CN"/>
        </w:rPr>
        <w:t xml:space="preserve"> </w:t>
      </w:r>
      <w:r>
        <w:rPr>
          <w:color w:val="000000" w:themeColor="text1"/>
          <w:lang w:eastAsia="zh-CN"/>
        </w:rPr>
        <w:t xml:space="preserve">розроблено з метою врегулювання </w:t>
      </w:r>
      <w:r>
        <w:rPr>
          <w:color w:val="000000" w:themeColor="text1"/>
          <w:szCs w:val="24"/>
        </w:rPr>
        <w:t>порядку взаємодії фінансових компаній та кредитних спілок з Національним банком щодо Кредитного реєстру відповідно до Закону.</w:t>
      </w:r>
    </w:p>
    <w:p w14:paraId="5A7CBD75" w14:textId="77777777" w:rsidR="00763C82" w:rsidRDefault="00763C82">
      <w:pPr>
        <w:widowControl w:val="0"/>
        <w:ind w:firstLine="686"/>
        <w:rPr>
          <w:color w:val="000000" w:themeColor="text1"/>
          <w:lang w:eastAsia="zh-CN"/>
        </w:rPr>
      </w:pPr>
    </w:p>
    <w:p w14:paraId="7E7D1ED2" w14:textId="77777777" w:rsidR="00763C82" w:rsidRDefault="00177004" w:rsidP="00D11A7C">
      <w:pPr>
        <w:widowControl w:val="0"/>
        <w:ind w:firstLine="567"/>
        <w:rPr>
          <w:b/>
          <w:color w:val="000000" w:themeColor="text1"/>
          <w:lang w:eastAsia="zh-CN"/>
        </w:rPr>
      </w:pPr>
      <w:r>
        <w:rPr>
          <w:b/>
          <w:color w:val="000000" w:themeColor="text1"/>
          <w:lang w:eastAsia="zh-CN"/>
        </w:rPr>
        <w:t>ІІІ. Визначення та оцінка всіх прийнятних альтернативних способів досягнення зазначених цілей, наведення аргументів щодо переваги обраного способу</w:t>
      </w:r>
    </w:p>
    <w:p w14:paraId="21145F05" w14:textId="77777777" w:rsidR="00763C82" w:rsidRDefault="00177004" w:rsidP="00D11A7C">
      <w:pPr>
        <w:ind w:firstLine="567"/>
        <w:rPr>
          <w:color w:val="000000"/>
        </w:rPr>
      </w:pPr>
      <w:r>
        <w:rPr>
          <w:color w:val="000000"/>
        </w:rPr>
        <w:t>Ураховуючи необхідність вирішення питань, пов’язаних із розробленням регуляторного акта, альтернативних способів досягнення встановлених цілей немає.</w:t>
      </w:r>
    </w:p>
    <w:p w14:paraId="258DF8B1" w14:textId="77777777" w:rsidR="00763C82" w:rsidRDefault="00763C82" w:rsidP="00D11A7C">
      <w:pPr>
        <w:widowControl w:val="0"/>
        <w:ind w:firstLine="567"/>
        <w:rPr>
          <w:color w:val="000000" w:themeColor="text1"/>
          <w:lang w:eastAsia="zh-CN"/>
        </w:rPr>
      </w:pPr>
    </w:p>
    <w:p w14:paraId="528A68C7" w14:textId="77777777" w:rsidR="00763C82" w:rsidRDefault="00177004" w:rsidP="00D11A7C">
      <w:pPr>
        <w:widowControl w:val="0"/>
        <w:ind w:firstLine="567"/>
        <w:rPr>
          <w:b/>
          <w:color w:val="000000" w:themeColor="text1"/>
          <w:lang w:eastAsia="zh-CN"/>
        </w:rPr>
      </w:pPr>
      <w:r>
        <w:rPr>
          <w:b/>
          <w:color w:val="000000" w:themeColor="text1"/>
          <w:lang w:eastAsia="zh-CN"/>
        </w:rPr>
        <w:t>ІV. Опис механізму, який пропонується застосувати для розв’язання проблеми, і відповідних заходів</w:t>
      </w:r>
    </w:p>
    <w:p w14:paraId="22E28944" w14:textId="4B866D1F" w:rsidR="00763C82" w:rsidRDefault="00177004" w:rsidP="00D11A7C">
      <w:pPr>
        <w:ind w:firstLine="567"/>
        <w:rPr>
          <w:bCs/>
          <w:color w:val="000000"/>
        </w:rPr>
      </w:pPr>
      <w:r>
        <w:rPr>
          <w:color w:val="000000"/>
        </w:rPr>
        <w:t xml:space="preserve">Затвердження регуляторного акта дасть </w:t>
      </w:r>
      <w:r w:rsidR="00127231">
        <w:rPr>
          <w:color w:val="000000"/>
        </w:rPr>
        <w:t xml:space="preserve">змогу </w:t>
      </w:r>
      <w:r>
        <w:rPr>
          <w:color w:val="000000"/>
        </w:rPr>
        <w:t>унормувати низку питань щодо</w:t>
      </w:r>
      <w:r>
        <w:rPr>
          <w:bCs/>
          <w:color w:val="000000"/>
        </w:rPr>
        <w:t xml:space="preserve"> взаємодії фінансових компаній та кредитних спілок з Національним банком щодо Кредитного реєстру, а саме:</w:t>
      </w:r>
    </w:p>
    <w:p w14:paraId="67B8A98D" w14:textId="77777777" w:rsidR="00763C82" w:rsidRDefault="00177004">
      <w:pPr>
        <w:pStyle w:val="a5"/>
        <w:widowControl w:val="0"/>
        <w:numPr>
          <w:ilvl w:val="0"/>
          <w:numId w:val="6"/>
        </w:numPr>
        <w:ind w:left="0" w:firstLine="567"/>
        <w:rPr>
          <w:color w:val="000000" w:themeColor="text1"/>
        </w:rPr>
      </w:pPr>
      <w:r>
        <w:rPr>
          <w:color w:val="000000" w:themeColor="text1"/>
        </w:rPr>
        <w:lastRenderedPageBreak/>
        <w:t xml:space="preserve">обов’язок подання фінансовими компаніями та кредитними спілками інформації до Кредитного реєстру; </w:t>
      </w:r>
    </w:p>
    <w:p w14:paraId="324D7ABD" w14:textId="5823BB71" w:rsidR="00763C82" w:rsidRDefault="00177004">
      <w:pPr>
        <w:pStyle w:val="a5"/>
        <w:widowControl w:val="0"/>
        <w:numPr>
          <w:ilvl w:val="0"/>
          <w:numId w:val="6"/>
        </w:numPr>
        <w:ind w:left="0" w:firstLine="567"/>
        <w:rPr>
          <w:color w:val="000000" w:themeColor="text1"/>
        </w:rPr>
      </w:pPr>
      <w:r>
        <w:rPr>
          <w:color w:val="000000" w:themeColor="text1"/>
        </w:rPr>
        <w:t>порядок подання фінансовими компаніями та кредитними спілками уточненої інформації до Кредитного реєстру, яку фінансова компанія</w:t>
      </w:r>
      <w:r w:rsidR="002001B3">
        <w:rPr>
          <w:color w:val="000000" w:themeColor="text1"/>
        </w:rPr>
        <w:t> / </w:t>
      </w:r>
      <w:r>
        <w:rPr>
          <w:color w:val="000000" w:themeColor="text1"/>
        </w:rPr>
        <w:t xml:space="preserve">кредитна спілка подала стосовно заявника до Кредитного реєстру, на запит Національного банку; </w:t>
      </w:r>
    </w:p>
    <w:p w14:paraId="616A6971" w14:textId="77777777" w:rsidR="00763C82" w:rsidRDefault="00177004">
      <w:pPr>
        <w:pStyle w:val="a5"/>
        <w:widowControl w:val="0"/>
        <w:numPr>
          <w:ilvl w:val="0"/>
          <w:numId w:val="6"/>
        </w:numPr>
        <w:ind w:left="0" w:firstLine="567"/>
        <w:rPr>
          <w:color w:val="000000" w:themeColor="text1"/>
        </w:rPr>
      </w:pPr>
      <w:r>
        <w:rPr>
          <w:color w:val="000000" w:themeColor="text1"/>
        </w:rPr>
        <w:t>порядок надання фінансовій компанії та кредитній спілці інформації з Кредитного реєстру;</w:t>
      </w:r>
    </w:p>
    <w:p w14:paraId="4A5C0A83" w14:textId="670A9571" w:rsidR="00763C82" w:rsidRDefault="00177004">
      <w:pPr>
        <w:pStyle w:val="a5"/>
        <w:widowControl w:val="0"/>
        <w:numPr>
          <w:ilvl w:val="0"/>
          <w:numId w:val="6"/>
        </w:numPr>
        <w:ind w:left="0" w:firstLine="567"/>
        <w:rPr>
          <w:color w:val="000000" w:themeColor="text1"/>
        </w:rPr>
      </w:pPr>
      <w:r>
        <w:rPr>
          <w:color w:val="000000" w:themeColor="text1"/>
        </w:rPr>
        <w:t>перелік інформації, яку має право отримати з Кредитного реєстру фінансова компанія</w:t>
      </w:r>
      <w:r w:rsidR="00B44636">
        <w:rPr>
          <w:color w:val="000000" w:themeColor="text1"/>
        </w:rPr>
        <w:t xml:space="preserve"> / </w:t>
      </w:r>
      <w:r>
        <w:rPr>
          <w:color w:val="000000" w:themeColor="text1"/>
        </w:rPr>
        <w:t>кредитна спілка.</w:t>
      </w:r>
    </w:p>
    <w:p w14:paraId="480C2419" w14:textId="77777777" w:rsidR="00763C82" w:rsidRDefault="00763C82">
      <w:pPr>
        <w:widowControl w:val="0"/>
        <w:ind w:firstLine="686"/>
        <w:rPr>
          <w:color w:val="000000" w:themeColor="text1"/>
          <w:lang w:val="ru-RU" w:eastAsia="zh-CN"/>
        </w:rPr>
      </w:pPr>
      <w:bookmarkStart w:id="1" w:name="_GoBack"/>
      <w:bookmarkEnd w:id="1"/>
    </w:p>
    <w:p w14:paraId="14D1AB20" w14:textId="77777777" w:rsidR="00763C82" w:rsidRDefault="00177004" w:rsidP="00D11A7C">
      <w:pPr>
        <w:widowControl w:val="0"/>
        <w:ind w:firstLine="567"/>
        <w:rPr>
          <w:b/>
          <w:color w:val="000000" w:themeColor="text1"/>
          <w:lang w:eastAsia="zh-CN"/>
        </w:rPr>
      </w:pPr>
      <w:r>
        <w:rPr>
          <w:b/>
          <w:color w:val="000000" w:themeColor="text1"/>
          <w:lang w:eastAsia="zh-CN"/>
        </w:rPr>
        <w:t>V. Обґрунтування можливості досягнення визначених цілей у разі прийняття регуляторного акта</w:t>
      </w:r>
    </w:p>
    <w:p w14:paraId="4A9EAE82" w14:textId="77777777" w:rsidR="00763C82" w:rsidRDefault="00177004" w:rsidP="00D11A7C">
      <w:pPr>
        <w:ind w:firstLine="567"/>
        <w:rPr>
          <w:color w:val="000000"/>
        </w:rPr>
      </w:pPr>
      <w:r>
        <w:rPr>
          <w:color w:val="000000" w:themeColor="text1"/>
          <w:lang w:eastAsia="ru-RU"/>
        </w:rPr>
        <w:t xml:space="preserve">Вимоги регуляторного акта будуть обов’язковими до виконання Національним банком, </w:t>
      </w:r>
      <w:r>
        <w:rPr>
          <w:color w:val="000000"/>
        </w:rPr>
        <w:t>фінансовими компаніями та кредитними спілками.</w:t>
      </w:r>
      <w:r>
        <w:rPr>
          <w:color w:val="000000" w:themeColor="text1"/>
          <w:szCs w:val="24"/>
        </w:rPr>
        <w:t xml:space="preserve"> Такі вимоги</w:t>
      </w:r>
      <w:r>
        <w:rPr>
          <w:color w:val="000000" w:themeColor="text1"/>
          <w:lang w:eastAsia="ru-RU"/>
        </w:rPr>
        <w:t xml:space="preserve"> не потребують суттєвого та/або тривалого за часом впровадження змін до звичайної діяльності суб’єктів, на яких поширюватиметься дія регуляторного акта. </w:t>
      </w:r>
    </w:p>
    <w:p w14:paraId="4499A0CB" w14:textId="77777777" w:rsidR="00763C82" w:rsidRDefault="00177004" w:rsidP="00D11A7C">
      <w:pPr>
        <w:widowControl w:val="0"/>
        <w:ind w:firstLine="567"/>
        <w:rPr>
          <w:color w:val="000000" w:themeColor="text1"/>
          <w:lang w:eastAsia="ru-RU"/>
        </w:rPr>
      </w:pPr>
      <w:r>
        <w:rPr>
          <w:color w:val="000000" w:themeColor="text1"/>
          <w:lang w:eastAsia="ru-RU"/>
        </w:rPr>
        <w:t>Ризик як негативного, так і позитивного впливу зовнішніх чинників на дію цього регуляторного акта потенційно зумовлюється переважно змінами в законодавчих актах України, що може призвести до потреби внесення додаткових змін до цього регуляторного акта.</w:t>
      </w:r>
    </w:p>
    <w:p w14:paraId="54BA7758" w14:textId="77777777" w:rsidR="00763C82" w:rsidRDefault="00177004" w:rsidP="00D11A7C">
      <w:pPr>
        <w:widowControl w:val="0"/>
        <w:ind w:firstLine="567"/>
        <w:rPr>
          <w:color w:val="000000" w:themeColor="text1"/>
        </w:rPr>
      </w:pPr>
      <w:r>
        <w:rPr>
          <w:color w:val="000000" w:themeColor="text1"/>
        </w:rPr>
        <w:t xml:space="preserve">Упровадження змін відповідно до положень такого регуляторного акта не потребує додаткових витрат Національного банку, оскільки здійснюється в межах його повноважень. </w:t>
      </w:r>
    </w:p>
    <w:p w14:paraId="10813E84" w14:textId="77777777" w:rsidR="00763C82" w:rsidRDefault="00177004" w:rsidP="00D11A7C">
      <w:pPr>
        <w:widowControl w:val="0"/>
        <w:ind w:firstLine="567"/>
        <w:rPr>
          <w:color w:val="000000" w:themeColor="text1"/>
          <w:lang w:eastAsia="ru-RU"/>
        </w:rPr>
      </w:pPr>
      <w:r>
        <w:rPr>
          <w:color w:val="000000" w:themeColor="text1"/>
          <w:lang w:eastAsia="ru-RU"/>
        </w:rPr>
        <w:t>Здійснення державного контролю та нагляду за додержанням вимог акта відбуватиметься в межах здійснення Національним банком наглядової діяльності з періодичністю, визначеною відповідними нормативно-правовими актами.</w:t>
      </w:r>
    </w:p>
    <w:p w14:paraId="494815BC" w14:textId="77777777" w:rsidR="00763C82" w:rsidRDefault="00763C82" w:rsidP="00D11A7C">
      <w:pPr>
        <w:widowControl w:val="0"/>
        <w:ind w:firstLine="567"/>
        <w:rPr>
          <w:color w:val="000000" w:themeColor="text1"/>
        </w:rPr>
      </w:pPr>
    </w:p>
    <w:p w14:paraId="6D76A795" w14:textId="77777777" w:rsidR="00763C82" w:rsidRDefault="00177004" w:rsidP="00D11A7C">
      <w:pPr>
        <w:widowControl w:val="0"/>
        <w:ind w:firstLine="567"/>
        <w:rPr>
          <w:b/>
          <w:color w:val="000000" w:themeColor="text1"/>
          <w:lang w:eastAsia="zh-CN"/>
        </w:rPr>
      </w:pPr>
      <w:r>
        <w:rPr>
          <w:b/>
          <w:color w:val="000000" w:themeColor="text1"/>
          <w:lang w:eastAsia="zh-CN"/>
        </w:rPr>
        <w:t>VI. Визначення очікуваних результатів прийняття акта</w:t>
      </w:r>
    </w:p>
    <w:p w14:paraId="7C07FA9B" w14:textId="5FA7B300" w:rsidR="00763C82" w:rsidRDefault="00177004" w:rsidP="00D11A7C">
      <w:pPr>
        <w:ind w:firstLine="567"/>
        <w:rPr>
          <w:color w:val="000000" w:themeColor="text1"/>
        </w:rPr>
      </w:pPr>
      <w:r>
        <w:rPr>
          <w:color w:val="000000" w:themeColor="text1"/>
        </w:rPr>
        <w:t xml:space="preserve">За </w:t>
      </w:r>
      <w:r w:rsidR="00CA3999">
        <w:rPr>
          <w:color w:val="000000" w:themeColor="text1"/>
        </w:rPr>
        <w:t xml:space="preserve">підсумками </w:t>
      </w:r>
      <w:r>
        <w:rPr>
          <w:color w:val="000000" w:themeColor="text1"/>
        </w:rPr>
        <w:t xml:space="preserve">визначення очікуваних результатів прийняття регуляторного акта протягом усього строку його дії можна виокремити </w:t>
      </w:r>
      <w:r w:rsidR="00917DDA">
        <w:rPr>
          <w:color w:val="000000" w:themeColor="text1"/>
        </w:rPr>
        <w:t xml:space="preserve">такий вплив </w:t>
      </w:r>
      <w:r>
        <w:rPr>
          <w:color w:val="000000" w:themeColor="text1"/>
        </w:rPr>
        <w:t xml:space="preserve">його дії </w:t>
      </w:r>
      <w:r w:rsidR="0096533C">
        <w:rPr>
          <w:color w:val="000000" w:themeColor="text1"/>
        </w:rPr>
        <w:t>на суб’єкти</w:t>
      </w:r>
      <w:r>
        <w:rPr>
          <w:color w:val="000000" w:themeColor="text1"/>
        </w:rPr>
        <w:t xml:space="preserve">, на </w:t>
      </w:r>
      <w:r w:rsidR="0096533C">
        <w:rPr>
          <w:color w:val="000000" w:themeColor="text1"/>
        </w:rPr>
        <w:t xml:space="preserve">які </w:t>
      </w:r>
      <w:r>
        <w:rPr>
          <w:color w:val="000000" w:themeColor="text1"/>
        </w:rPr>
        <w:t>поширюється дія регуляторного акта.</w:t>
      </w:r>
    </w:p>
    <w:p w14:paraId="592619B2" w14:textId="1C84CAF9" w:rsidR="00763C82" w:rsidRDefault="00177004" w:rsidP="00D11A7C">
      <w:pPr>
        <w:ind w:firstLine="567"/>
        <w:rPr>
          <w:color w:val="000000" w:themeColor="text1"/>
        </w:rPr>
      </w:pPr>
      <w:r>
        <w:rPr>
          <w:color w:val="000000" w:themeColor="text1"/>
        </w:rPr>
        <w:t xml:space="preserve">Основними позитивними </w:t>
      </w:r>
      <w:r w:rsidR="002B45F0">
        <w:rPr>
          <w:color w:val="000000" w:themeColor="text1"/>
        </w:rPr>
        <w:t xml:space="preserve">результатами </w:t>
      </w:r>
      <w:r>
        <w:rPr>
          <w:color w:val="000000" w:themeColor="text1"/>
        </w:rPr>
        <w:t xml:space="preserve">дії регуляторного акта є: </w:t>
      </w:r>
    </w:p>
    <w:p w14:paraId="25B4B894" w14:textId="77777777" w:rsidR="00763C82" w:rsidRDefault="00177004" w:rsidP="002B45F0">
      <w:pPr>
        <w:pStyle w:val="a5"/>
        <w:numPr>
          <w:ilvl w:val="0"/>
          <w:numId w:val="9"/>
        </w:numPr>
        <w:tabs>
          <w:tab w:val="left" w:pos="993"/>
        </w:tabs>
        <w:ind w:left="0" w:firstLine="567"/>
        <w:rPr>
          <w:color w:val="000000" w:themeColor="text1"/>
        </w:rPr>
      </w:pPr>
      <w:r>
        <w:rPr>
          <w:color w:val="000000" w:themeColor="text1"/>
        </w:rPr>
        <w:t>врегулювання порядку взаємодії фінансових компаній та кредитних спілок з Національним банком щодо Кредитного реєстру;</w:t>
      </w:r>
    </w:p>
    <w:p w14:paraId="2119C35C" w14:textId="77777777" w:rsidR="00763C82" w:rsidRDefault="00177004" w:rsidP="002B45F0">
      <w:pPr>
        <w:pStyle w:val="a5"/>
        <w:widowControl w:val="0"/>
        <w:numPr>
          <w:ilvl w:val="0"/>
          <w:numId w:val="9"/>
        </w:numPr>
        <w:tabs>
          <w:tab w:val="left" w:pos="993"/>
        </w:tabs>
        <w:ind w:left="0" w:firstLine="567"/>
        <w:rPr>
          <w:color w:val="000000" w:themeColor="text1"/>
        </w:rPr>
      </w:pPr>
      <w:r>
        <w:rPr>
          <w:color w:val="000000" w:themeColor="text1"/>
        </w:rPr>
        <w:t>встановлення порядку подання фінансовими компаніями та кредитними спілками уточненої інформації до Кредитного реєстру, яку фінансова компанія</w:t>
      </w:r>
      <w:r w:rsidR="002B45F0">
        <w:rPr>
          <w:color w:val="000000" w:themeColor="text1"/>
        </w:rPr>
        <w:t> </w:t>
      </w:r>
      <w:r>
        <w:rPr>
          <w:color w:val="000000" w:themeColor="text1"/>
        </w:rPr>
        <w:t>/</w:t>
      </w:r>
      <w:r w:rsidR="002B45F0">
        <w:rPr>
          <w:color w:val="000000" w:themeColor="text1"/>
        </w:rPr>
        <w:t> </w:t>
      </w:r>
      <w:r>
        <w:rPr>
          <w:color w:val="000000" w:themeColor="text1"/>
        </w:rPr>
        <w:t xml:space="preserve">кредитна спілка подала стосовно заявника до Кредитного реєстру, на запит Національного банку; </w:t>
      </w:r>
    </w:p>
    <w:p w14:paraId="74685FBC" w14:textId="77777777" w:rsidR="00763C82" w:rsidRDefault="00177004" w:rsidP="002B45F0">
      <w:pPr>
        <w:pStyle w:val="a5"/>
        <w:widowControl w:val="0"/>
        <w:numPr>
          <w:ilvl w:val="0"/>
          <w:numId w:val="9"/>
        </w:numPr>
        <w:tabs>
          <w:tab w:val="left" w:pos="993"/>
        </w:tabs>
        <w:ind w:left="0" w:firstLine="567"/>
        <w:rPr>
          <w:color w:val="000000" w:themeColor="text1"/>
        </w:rPr>
      </w:pPr>
      <w:r>
        <w:rPr>
          <w:color w:val="000000" w:themeColor="text1"/>
        </w:rPr>
        <w:t>встановлення порядку надання фінансовій компанії та кредитній спілці інформації з Кредитного реєстру;</w:t>
      </w:r>
    </w:p>
    <w:p w14:paraId="632D9BCB" w14:textId="77777777" w:rsidR="00763C82" w:rsidRDefault="00177004" w:rsidP="002B45F0">
      <w:pPr>
        <w:pStyle w:val="a5"/>
        <w:widowControl w:val="0"/>
        <w:numPr>
          <w:ilvl w:val="0"/>
          <w:numId w:val="9"/>
        </w:numPr>
        <w:tabs>
          <w:tab w:val="left" w:pos="993"/>
        </w:tabs>
        <w:ind w:left="0" w:firstLine="567"/>
        <w:rPr>
          <w:color w:val="000000" w:themeColor="text1"/>
        </w:rPr>
      </w:pPr>
      <w:r>
        <w:rPr>
          <w:color w:val="000000" w:themeColor="text1"/>
        </w:rPr>
        <w:lastRenderedPageBreak/>
        <w:t>закріплення переліку інформації, яку має право отримати з Кредитного реєстру фінансова компанія, кредитна спілка.</w:t>
      </w:r>
    </w:p>
    <w:p w14:paraId="67BE952F" w14:textId="77777777" w:rsidR="00763C82" w:rsidRDefault="00177004" w:rsidP="00D11A7C">
      <w:pPr>
        <w:ind w:firstLine="567"/>
        <w:rPr>
          <w:color w:val="000000" w:themeColor="text1"/>
        </w:rPr>
      </w:pPr>
      <w:r>
        <w:rPr>
          <w:color w:val="000000" w:themeColor="text1"/>
        </w:rPr>
        <w:t xml:space="preserve">Ураховуючи специфіку сфери правового регулювання проєкту постанови, не вбачається за можливе обчислення кількісних розмірів позитивних та можливих негативних наслідків його прийняття. </w:t>
      </w:r>
    </w:p>
    <w:p w14:paraId="156E0F22" w14:textId="77777777" w:rsidR="00763C82" w:rsidRDefault="00763C82">
      <w:pPr>
        <w:rPr>
          <w:color w:val="000000" w:themeColor="text1"/>
        </w:rPr>
      </w:pPr>
    </w:p>
    <w:p w14:paraId="3A4743C6" w14:textId="77777777" w:rsidR="00763C82" w:rsidRDefault="00177004" w:rsidP="00D11A7C">
      <w:pPr>
        <w:ind w:firstLine="567"/>
        <w:rPr>
          <w:b/>
          <w:color w:val="000000" w:themeColor="text1"/>
          <w:lang w:eastAsia="zh-CN"/>
        </w:rPr>
      </w:pPr>
      <w:r>
        <w:rPr>
          <w:b/>
          <w:color w:val="000000" w:themeColor="text1"/>
          <w:lang w:eastAsia="zh-CN"/>
        </w:rPr>
        <w:t>VII. Визначення показників результативності акта</w:t>
      </w:r>
    </w:p>
    <w:p w14:paraId="5AFFD427" w14:textId="332AEB66" w:rsidR="00763C82" w:rsidRDefault="00177004" w:rsidP="00D11A7C">
      <w:pPr>
        <w:ind w:firstLine="567"/>
        <w:rPr>
          <w:color w:val="000000" w:themeColor="text1"/>
          <w:lang w:eastAsia="ru-RU"/>
        </w:rPr>
      </w:pPr>
      <w:bookmarkStart w:id="2" w:name="_Hlk77928703"/>
      <w:r>
        <w:rPr>
          <w:color w:val="000000" w:themeColor="text1"/>
          <w:lang w:eastAsia="ru-RU"/>
        </w:rPr>
        <w:t>Вимоги акта поширюватимуться на</w:t>
      </w:r>
      <w:r>
        <w:rPr>
          <w:color w:val="000000" w:themeColor="text1"/>
          <w:szCs w:val="24"/>
        </w:rPr>
        <w:t xml:space="preserve"> фінансові компанії, що мають право надавати хоча б одну з фінансових послуг, передбачених </w:t>
      </w:r>
      <w:r w:rsidR="002B45F0">
        <w:rPr>
          <w:color w:val="000000" w:themeColor="text1"/>
          <w:szCs w:val="24"/>
        </w:rPr>
        <w:t xml:space="preserve">у </w:t>
      </w:r>
      <w:r>
        <w:rPr>
          <w:color w:val="000000" w:themeColor="text1"/>
          <w:szCs w:val="24"/>
        </w:rPr>
        <w:t>пунктами 1</w:t>
      </w:r>
      <w:r w:rsidR="002B45F0">
        <w:rPr>
          <w:color w:val="000000" w:themeColor="text1"/>
          <w:szCs w:val="24"/>
        </w:rPr>
        <w:t>−</w:t>
      </w:r>
      <w:r>
        <w:rPr>
          <w:color w:val="000000" w:themeColor="text1"/>
          <w:szCs w:val="24"/>
        </w:rPr>
        <w:t>4 частини першої статті 29 Закону, та кредитні спілки</w:t>
      </w:r>
      <w:bookmarkEnd w:id="2"/>
      <w:r>
        <w:rPr>
          <w:color w:val="000000" w:themeColor="text1"/>
          <w:lang w:eastAsia="ru-RU"/>
        </w:rPr>
        <w:t>.</w:t>
      </w:r>
    </w:p>
    <w:p w14:paraId="237AB21D" w14:textId="77777777" w:rsidR="00763C82" w:rsidRDefault="00177004" w:rsidP="00D11A7C">
      <w:pPr>
        <w:ind w:firstLine="567"/>
        <w:rPr>
          <w:color w:val="000000" w:themeColor="text1"/>
          <w:lang w:eastAsia="ru-RU"/>
        </w:rPr>
      </w:pPr>
      <w:r>
        <w:rPr>
          <w:color w:val="000000" w:themeColor="text1"/>
          <w:lang w:eastAsia="ru-RU"/>
        </w:rPr>
        <w:t>Показниками результативності регуляторного акта є:</w:t>
      </w:r>
    </w:p>
    <w:p w14:paraId="350FC320" w14:textId="77777777" w:rsidR="00763C82" w:rsidRDefault="00177004" w:rsidP="00D11A7C">
      <w:pPr>
        <w:tabs>
          <w:tab w:val="left" w:pos="360"/>
        </w:tabs>
        <w:ind w:firstLine="567"/>
        <w:rPr>
          <w:color w:val="000000" w:themeColor="text1"/>
          <w:lang w:eastAsia="ru-RU"/>
        </w:rPr>
      </w:pPr>
      <w:bookmarkStart w:id="3" w:name="o57"/>
      <w:bookmarkStart w:id="4" w:name="o62"/>
      <w:bookmarkStart w:id="5" w:name="o60"/>
      <w:bookmarkEnd w:id="3"/>
      <w:bookmarkEnd w:id="4"/>
      <w:bookmarkEnd w:id="5"/>
      <w:r>
        <w:rPr>
          <w:color w:val="000000" w:themeColor="text1"/>
          <w:lang w:eastAsia="ru-RU"/>
        </w:rPr>
        <w:t>1) кількість суб’єктів, на яких поширюватиметься дія акта;</w:t>
      </w:r>
    </w:p>
    <w:p w14:paraId="38BD6C21" w14:textId="77777777" w:rsidR="00763C82" w:rsidRDefault="00177004" w:rsidP="00D11A7C">
      <w:pPr>
        <w:ind w:firstLine="567"/>
        <w:rPr>
          <w:color w:val="000000" w:themeColor="text1"/>
          <w:lang w:val="ru-RU" w:eastAsia="ru-RU"/>
        </w:rPr>
      </w:pPr>
      <w:bookmarkStart w:id="6" w:name="o36"/>
      <w:bookmarkEnd w:id="6"/>
      <w:r>
        <w:rPr>
          <w:color w:val="000000" w:themeColor="text1"/>
          <w:lang w:eastAsia="ru-RU"/>
        </w:rPr>
        <w:t>2) кількість фінансових компаній та кредитних спілок, які привели свою діяльність у відповідність до вимоги постанови</w:t>
      </w:r>
      <w:r>
        <w:rPr>
          <w:color w:val="000000" w:themeColor="text1"/>
          <w:lang w:val="ru-RU" w:eastAsia="ru-RU"/>
        </w:rPr>
        <w:t>;</w:t>
      </w:r>
    </w:p>
    <w:p w14:paraId="55EA0F18" w14:textId="77777777" w:rsidR="00763C82" w:rsidRDefault="00177004" w:rsidP="00D11A7C">
      <w:pPr>
        <w:ind w:firstLine="567"/>
        <w:rPr>
          <w:color w:val="000000" w:themeColor="text1"/>
          <w:lang w:eastAsia="ru-RU"/>
        </w:rPr>
      </w:pPr>
      <w:r>
        <w:rPr>
          <w:color w:val="000000" w:themeColor="text1"/>
          <w:lang w:eastAsia="ru-RU"/>
        </w:rPr>
        <w:t>3) кількість фінансових компаній та кредитних спілок, що порушили вимоги постанови.</w:t>
      </w:r>
    </w:p>
    <w:p w14:paraId="0F51F525" w14:textId="7D3E480C" w:rsidR="00763C82" w:rsidRDefault="00177004" w:rsidP="00D11A7C">
      <w:pPr>
        <w:ind w:firstLine="567"/>
        <w:rPr>
          <w:color w:val="000000" w:themeColor="text1"/>
          <w:lang w:eastAsia="ru-RU"/>
        </w:rPr>
      </w:pPr>
      <w:r>
        <w:rPr>
          <w:color w:val="000000" w:themeColor="text1"/>
        </w:rPr>
        <w:t>Водночас</w:t>
      </w:r>
      <w:r w:rsidR="002B45F0">
        <w:rPr>
          <w:color w:val="000000" w:themeColor="text1"/>
        </w:rPr>
        <w:t>,</w:t>
      </w:r>
      <w:r>
        <w:rPr>
          <w:color w:val="000000" w:themeColor="text1"/>
        </w:rPr>
        <w:t xml:space="preserve"> ураховуючи специфіку запропонованого проєкту постанови та предмет регулювання, </w:t>
      </w:r>
      <w:r w:rsidR="0096533C">
        <w:rPr>
          <w:color w:val="000000" w:themeColor="text1"/>
        </w:rPr>
        <w:t xml:space="preserve">не вбачається можливим </w:t>
      </w:r>
      <w:r>
        <w:rPr>
          <w:color w:val="000000" w:themeColor="text1"/>
        </w:rPr>
        <w:t xml:space="preserve">надати кількісну форму та чіткий перелік </w:t>
      </w:r>
      <w:r w:rsidR="002B45F0">
        <w:rPr>
          <w:color w:val="000000" w:themeColor="text1"/>
        </w:rPr>
        <w:t xml:space="preserve">усіх </w:t>
      </w:r>
      <w:r>
        <w:rPr>
          <w:color w:val="000000" w:themeColor="text1"/>
        </w:rPr>
        <w:t>прогнозних значень показників результативності регуляторного акта.</w:t>
      </w:r>
    </w:p>
    <w:p w14:paraId="563655B8" w14:textId="77777777" w:rsidR="00763C82" w:rsidRDefault="00763C82" w:rsidP="00D11A7C">
      <w:pPr>
        <w:ind w:firstLine="567"/>
        <w:rPr>
          <w:color w:val="000000" w:themeColor="text1"/>
          <w:lang w:eastAsia="ru-RU"/>
        </w:rPr>
      </w:pPr>
    </w:p>
    <w:p w14:paraId="7D836668" w14:textId="77777777" w:rsidR="00763C82" w:rsidRDefault="00177004" w:rsidP="00D11A7C">
      <w:pPr>
        <w:ind w:firstLine="567"/>
        <w:rPr>
          <w:b/>
          <w:color w:val="000000" w:themeColor="text1"/>
          <w:lang w:eastAsia="zh-CN"/>
        </w:rPr>
      </w:pPr>
      <w:bookmarkStart w:id="7" w:name="o63"/>
      <w:bookmarkEnd w:id="7"/>
      <w:r>
        <w:rPr>
          <w:b/>
          <w:color w:val="000000" w:themeColor="text1"/>
          <w:lang w:eastAsia="zh-CN"/>
        </w:rPr>
        <w:t xml:space="preserve">VIII. Визначення заходів, з допомогою яких буде здійснюватися відстеження результативності акта </w:t>
      </w:r>
    </w:p>
    <w:p w14:paraId="34FC9992" w14:textId="77777777" w:rsidR="00763C82" w:rsidRDefault="00177004" w:rsidP="00D11A7C">
      <w:pPr>
        <w:ind w:firstLine="567"/>
        <w:rPr>
          <w:color w:val="000000" w:themeColor="text1"/>
          <w:lang w:eastAsia="zh-CN"/>
        </w:rPr>
      </w:pPr>
      <w:r>
        <w:rPr>
          <w:color w:val="000000" w:themeColor="text1"/>
          <w:lang w:eastAsia="zh-CN"/>
        </w:rPr>
        <w:t>Відповідно до статей 3 та 10 Закону України “Про засади державної регуляторної політики у сфері господарської діяльності” Національний банк проводить базові, повторні та періодичні відстеження результативності власних регуляторних актів з урахуванням Методики відстеження результативності регуляторного акта Національного банку України, затвердженої постановою Кабінету Міністрів України і Національного банку України від 14.04.2004 № 471.</w:t>
      </w:r>
    </w:p>
    <w:p w14:paraId="599C3E32" w14:textId="77777777" w:rsidR="00763C82" w:rsidRDefault="00177004" w:rsidP="00D11A7C">
      <w:pPr>
        <w:ind w:firstLine="567"/>
        <w:rPr>
          <w:color w:val="000000" w:themeColor="text1"/>
          <w:lang w:eastAsia="zh-CN"/>
        </w:rPr>
      </w:pPr>
      <w:bookmarkStart w:id="8" w:name="_Hlk528784927"/>
      <w:r>
        <w:rPr>
          <w:color w:val="000000" w:themeColor="text1"/>
          <w:lang w:eastAsia="zh-CN"/>
        </w:rPr>
        <w:t>Відстеження результативності регуляторного акта проводитиметься з використанням статистичних даних. Цільові групи осіб для опитування чи наукові установи не залучатимуться для проведення відстеження результативності цього регуляторного акта.</w:t>
      </w:r>
    </w:p>
    <w:bookmarkEnd w:id="8"/>
    <w:p w14:paraId="5A0ADAEE" w14:textId="33AAB0AA" w:rsidR="00763C82" w:rsidRDefault="00177004" w:rsidP="00D11A7C">
      <w:pPr>
        <w:ind w:firstLine="567"/>
        <w:rPr>
          <w:color w:val="000000" w:themeColor="text1"/>
          <w:lang w:eastAsia="zh-CN"/>
        </w:rPr>
      </w:pPr>
      <w:r>
        <w:rPr>
          <w:color w:val="000000" w:themeColor="text1"/>
          <w:lang w:eastAsia="zh-CN"/>
        </w:rPr>
        <w:t xml:space="preserve">Базове відстеження результативності регуляторного акта здійснюватиметься протягом </w:t>
      </w:r>
      <w:r w:rsidR="005B4C68">
        <w:rPr>
          <w:color w:val="000000" w:themeColor="text1"/>
          <w:lang w:eastAsia="zh-CN"/>
        </w:rPr>
        <w:t xml:space="preserve">одного </w:t>
      </w:r>
      <w:r>
        <w:rPr>
          <w:color w:val="000000" w:themeColor="text1"/>
          <w:lang w:eastAsia="zh-CN"/>
        </w:rPr>
        <w:t>року з дня набрання чинності цим актом.</w:t>
      </w:r>
    </w:p>
    <w:p w14:paraId="6D7DC356" w14:textId="77777777" w:rsidR="00763C82" w:rsidRDefault="00177004" w:rsidP="00D11A7C">
      <w:pPr>
        <w:ind w:firstLine="567"/>
        <w:rPr>
          <w:color w:val="000000" w:themeColor="text1"/>
          <w:lang w:eastAsia="zh-CN"/>
        </w:rPr>
      </w:pPr>
      <w:bookmarkStart w:id="9" w:name="_Hlk77929117"/>
      <w:r>
        <w:rPr>
          <w:color w:val="000000" w:themeColor="text1"/>
          <w:lang w:eastAsia="zh-CN"/>
        </w:rPr>
        <w:t>Повторне відстеження результативності регуляторного акта проводитиметься не пізніше двох років із дня набрання чинності регуляторним актом.</w:t>
      </w:r>
    </w:p>
    <w:p w14:paraId="0CBBA325" w14:textId="77777777" w:rsidR="00763C82" w:rsidRDefault="00177004" w:rsidP="00D11A7C">
      <w:pPr>
        <w:ind w:firstLine="567"/>
        <w:rPr>
          <w:color w:val="000000" w:themeColor="text1"/>
          <w:lang w:eastAsia="zh-CN"/>
        </w:rPr>
      </w:pPr>
      <w:r>
        <w:rPr>
          <w:color w:val="000000" w:themeColor="text1"/>
          <w:lang w:eastAsia="zh-CN"/>
        </w:rPr>
        <w:t xml:space="preserve">Періодичне відстеження результативності регуляторного акта здійснюватиметься один раз на кожні три </w:t>
      </w:r>
      <w:r w:rsidRPr="008D2532">
        <w:rPr>
          <w:color w:val="000000" w:themeColor="text1"/>
          <w:lang w:eastAsia="zh-CN"/>
        </w:rPr>
        <w:t>роки п</w:t>
      </w:r>
      <w:r>
        <w:rPr>
          <w:color w:val="000000" w:themeColor="text1"/>
          <w:lang w:eastAsia="zh-CN"/>
        </w:rPr>
        <w:t>очинаючи з дня закінчення заходів з повторного відстеження результативності регуляторного акта.</w:t>
      </w:r>
    </w:p>
    <w:p w14:paraId="156E814F" w14:textId="77777777" w:rsidR="00763C82" w:rsidRDefault="00177004" w:rsidP="00D11A7C">
      <w:pPr>
        <w:ind w:firstLine="567"/>
        <w:rPr>
          <w:color w:val="000000" w:themeColor="text1"/>
          <w:lang w:eastAsia="zh-CN"/>
        </w:rPr>
      </w:pPr>
      <w:r>
        <w:rPr>
          <w:color w:val="000000" w:themeColor="text1"/>
          <w:lang w:eastAsia="zh-CN"/>
        </w:rPr>
        <w:lastRenderedPageBreak/>
        <w:t xml:space="preserve">Інформування </w:t>
      </w:r>
      <w:r>
        <w:rPr>
          <w:color w:val="000000" w:themeColor="text1"/>
          <w:lang w:eastAsia="ru-RU"/>
        </w:rPr>
        <w:t xml:space="preserve">учасників ринку небанківських фінансових </w:t>
      </w:r>
      <w:r>
        <w:rPr>
          <w:color w:val="000000" w:themeColor="text1"/>
          <w:lang w:eastAsia="zh-CN"/>
        </w:rPr>
        <w:t>щодо основних положень регуляторного акта здійснюватиметься шляхом його оприлюднення на сторінці офіційного Інтернет-представництва Національного банку</w:t>
      </w:r>
      <w:r w:rsidR="002B45F0">
        <w:rPr>
          <w:color w:val="000000" w:themeColor="text1"/>
          <w:lang w:eastAsia="zh-CN"/>
        </w:rPr>
        <w:t xml:space="preserve"> України</w:t>
      </w:r>
      <w:r>
        <w:rPr>
          <w:color w:val="000000" w:themeColor="text1"/>
          <w:lang w:eastAsia="zh-CN"/>
        </w:rPr>
        <w:t>.</w:t>
      </w:r>
    </w:p>
    <w:p w14:paraId="4B637663" w14:textId="77777777" w:rsidR="00763C82" w:rsidRPr="000547E6" w:rsidRDefault="00763C82">
      <w:pPr>
        <w:ind w:firstLine="709"/>
        <w:rPr>
          <w:color w:val="000000" w:themeColor="text1"/>
          <w:lang w:val="ru-RU"/>
        </w:rPr>
      </w:pPr>
    </w:p>
    <w:p w14:paraId="41C180C4" w14:textId="77777777" w:rsidR="00763C82" w:rsidRPr="000547E6" w:rsidRDefault="00763C82">
      <w:pPr>
        <w:ind w:firstLine="709"/>
        <w:rPr>
          <w:color w:val="000000" w:themeColor="text1"/>
          <w:lang w:val="ru-RU"/>
        </w:rPr>
      </w:pPr>
    </w:p>
    <w:bookmarkEnd w:id="9"/>
    <w:tbl>
      <w:tblPr>
        <w:tblStyle w:val="af5"/>
        <w:tblW w:w="98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9"/>
        <w:gridCol w:w="4325"/>
      </w:tblGrid>
      <w:tr w:rsidR="00763C82" w14:paraId="1ED493AD" w14:textId="77777777">
        <w:trPr>
          <w:trHeight w:val="68"/>
        </w:trPr>
        <w:tc>
          <w:tcPr>
            <w:tcW w:w="5529" w:type="dxa"/>
            <w:vAlign w:val="bottom"/>
          </w:tcPr>
          <w:p w14:paraId="3775C003" w14:textId="77777777" w:rsidR="00763C82" w:rsidRDefault="00763C82">
            <w:pPr>
              <w:tabs>
                <w:tab w:val="left" w:pos="7020"/>
                <w:tab w:val="left" w:pos="7200"/>
              </w:tabs>
              <w:ind w:left="-111"/>
              <w:jc w:val="left"/>
              <w:rPr>
                <w:color w:val="000000" w:themeColor="text1"/>
              </w:rPr>
            </w:pPr>
          </w:p>
          <w:p w14:paraId="3B5400A4" w14:textId="77777777" w:rsidR="00763C82" w:rsidRDefault="00177004">
            <w:pPr>
              <w:tabs>
                <w:tab w:val="left" w:pos="7020"/>
                <w:tab w:val="left" w:pos="7200"/>
              </w:tabs>
              <w:jc w:val="lef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Голова Національного банку України</w:t>
            </w:r>
          </w:p>
        </w:tc>
        <w:tc>
          <w:tcPr>
            <w:tcW w:w="4325" w:type="dxa"/>
            <w:vAlign w:val="bottom"/>
          </w:tcPr>
          <w:p w14:paraId="20A96D58" w14:textId="77777777" w:rsidR="00763C82" w:rsidRDefault="00177004">
            <w:pPr>
              <w:tabs>
                <w:tab w:val="left" w:pos="7020"/>
                <w:tab w:val="left" w:pos="7200"/>
              </w:tabs>
              <w:ind w:left="30"/>
              <w:jc w:val="right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Андрій ПИШНИЙ</w:t>
            </w:r>
          </w:p>
        </w:tc>
      </w:tr>
    </w:tbl>
    <w:p w14:paraId="5C320AFE" w14:textId="77777777" w:rsidR="00763C82" w:rsidRDefault="00763C82">
      <w:pPr>
        <w:rPr>
          <w:lang w:val="en-US"/>
        </w:rPr>
      </w:pPr>
    </w:p>
    <w:sectPr w:rsidR="00763C82" w:rsidSect="009E67D1">
      <w:headerReference w:type="default" r:id="rId7"/>
      <w:pgSz w:w="11906" w:h="16838"/>
      <w:pgMar w:top="567" w:right="567" w:bottom="1701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34436E" w14:textId="77777777" w:rsidR="00A56A07" w:rsidRDefault="00A56A07"/>
  </w:endnote>
  <w:endnote w:type="continuationSeparator" w:id="0">
    <w:p w14:paraId="34FC85A1" w14:textId="77777777" w:rsidR="00A56A07" w:rsidRDefault="00A56A0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5CB8F2" w14:textId="77777777" w:rsidR="00A56A07" w:rsidRDefault="00A56A07"/>
  </w:footnote>
  <w:footnote w:type="continuationSeparator" w:id="0">
    <w:p w14:paraId="2F01F2A1" w14:textId="77777777" w:rsidR="00A56A07" w:rsidRDefault="00A56A0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217FA0" w14:textId="49EB1F35" w:rsidR="00763C82" w:rsidRDefault="00177004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44A46">
      <w:rPr>
        <w:noProof/>
      </w:rPr>
      <w:t>5</w:t>
    </w:r>
    <w:r>
      <w:rPr>
        <w:noProof/>
      </w:rPr>
      <w:fldChar w:fldCharType="end"/>
    </w:r>
  </w:p>
  <w:p w14:paraId="392A105E" w14:textId="77777777" w:rsidR="00763C82" w:rsidRDefault="00763C8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34D69"/>
    <w:multiLevelType w:val="hybridMultilevel"/>
    <w:tmpl w:val="05F8358C"/>
    <w:lvl w:ilvl="0" w:tplc="5C92E390">
      <w:start w:val="1"/>
      <w:numFmt w:val="bullet"/>
      <w:lvlText w:val="-"/>
      <w:lvlJc w:val="left"/>
      <w:pPr>
        <w:ind w:left="108" w:firstLine="578"/>
      </w:pPr>
      <w:rPr>
        <w:rFonts w:ascii="Times New Roman" w:hAnsi="Times New Roman"/>
      </w:rPr>
    </w:lvl>
    <w:lvl w:ilvl="1" w:tplc="04220003">
      <w:start w:val="1"/>
      <w:numFmt w:val="bullet"/>
      <w:lvlText w:val="o"/>
      <w:lvlJc w:val="left"/>
      <w:pPr>
        <w:ind w:left="1766" w:hanging="360"/>
      </w:pPr>
      <w:rPr>
        <w:rFonts w:ascii="Courier New" w:hAnsi="Courier New"/>
      </w:rPr>
    </w:lvl>
    <w:lvl w:ilvl="2" w:tplc="04220005">
      <w:start w:val="1"/>
      <w:numFmt w:val="bullet"/>
      <w:lvlText w:val=""/>
      <w:lvlJc w:val="left"/>
      <w:pPr>
        <w:ind w:left="2486" w:hanging="360"/>
      </w:pPr>
      <w:rPr>
        <w:rFonts w:ascii="Wingdings" w:hAnsi="Wingdings"/>
      </w:rPr>
    </w:lvl>
    <w:lvl w:ilvl="3" w:tplc="04220001">
      <w:start w:val="1"/>
      <w:numFmt w:val="bullet"/>
      <w:lvlText w:val=""/>
      <w:lvlJc w:val="left"/>
      <w:pPr>
        <w:ind w:left="3206" w:hanging="360"/>
      </w:pPr>
      <w:rPr>
        <w:rFonts w:ascii="Symbol" w:hAnsi="Symbol"/>
      </w:rPr>
    </w:lvl>
    <w:lvl w:ilvl="4" w:tplc="04220003">
      <w:start w:val="1"/>
      <w:numFmt w:val="bullet"/>
      <w:lvlText w:val="o"/>
      <w:lvlJc w:val="left"/>
      <w:pPr>
        <w:ind w:left="3926" w:hanging="360"/>
      </w:pPr>
      <w:rPr>
        <w:rFonts w:ascii="Courier New" w:hAnsi="Courier New"/>
      </w:rPr>
    </w:lvl>
    <w:lvl w:ilvl="5" w:tplc="04220005">
      <w:start w:val="1"/>
      <w:numFmt w:val="bullet"/>
      <w:lvlText w:val=""/>
      <w:lvlJc w:val="left"/>
      <w:pPr>
        <w:ind w:left="4646" w:hanging="360"/>
      </w:pPr>
      <w:rPr>
        <w:rFonts w:ascii="Wingdings" w:hAnsi="Wingdings"/>
      </w:rPr>
    </w:lvl>
    <w:lvl w:ilvl="6" w:tplc="04220001">
      <w:start w:val="1"/>
      <w:numFmt w:val="bullet"/>
      <w:lvlText w:val=""/>
      <w:lvlJc w:val="left"/>
      <w:pPr>
        <w:ind w:left="5366" w:hanging="360"/>
      </w:pPr>
      <w:rPr>
        <w:rFonts w:ascii="Symbol" w:hAnsi="Symbol"/>
      </w:rPr>
    </w:lvl>
    <w:lvl w:ilvl="7" w:tplc="04220003">
      <w:start w:val="1"/>
      <w:numFmt w:val="bullet"/>
      <w:lvlText w:val="o"/>
      <w:lvlJc w:val="left"/>
      <w:pPr>
        <w:ind w:left="6086" w:hanging="360"/>
      </w:pPr>
      <w:rPr>
        <w:rFonts w:ascii="Courier New" w:hAnsi="Courier New"/>
      </w:rPr>
    </w:lvl>
    <w:lvl w:ilvl="8" w:tplc="04220005">
      <w:start w:val="1"/>
      <w:numFmt w:val="bullet"/>
      <w:lvlText w:val=""/>
      <w:lvlJc w:val="left"/>
      <w:pPr>
        <w:ind w:left="6806" w:hanging="360"/>
      </w:pPr>
      <w:rPr>
        <w:rFonts w:ascii="Wingdings" w:hAnsi="Wingdings"/>
      </w:rPr>
    </w:lvl>
  </w:abstractNum>
  <w:abstractNum w:abstractNumId="1" w15:restartNumberingAfterBreak="0">
    <w:nsid w:val="25DE6FF0"/>
    <w:multiLevelType w:val="hybridMultilevel"/>
    <w:tmpl w:val="A4189C46"/>
    <w:lvl w:ilvl="0" w:tplc="0E4E4774">
      <w:start w:val="1"/>
      <w:numFmt w:val="decimal"/>
      <w:lvlText w:val="%1)"/>
      <w:lvlJc w:val="left"/>
      <w:pPr>
        <w:ind w:left="1046" w:hanging="360"/>
      </w:pPr>
    </w:lvl>
    <w:lvl w:ilvl="1" w:tplc="04220019">
      <w:start w:val="1"/>
      <w:numFmt w:val="lowerLetter"/>
      <w:lvlText w:val="%2."/>
      <w:lvlJc w:val="left"/>
      <w:pPr>
        <w:ind w:left="1766" w:hanging="360"/>
      </w:pPr>
    </w:lvl>
    <w:lvl w:ilvl="2" w:tplc="0422001B">
      <w:start w:val="1"/>
      <w:numFmt w:val="lowerRoman"/>
      <w:lvlText w:val="%3."/>
      <w:lvlJc w:val="right"/>
      <w:pPr>
        <w:ind w:left="2486" w:hanging="180"/>
      </w:pPr>
    </w:lvl>
    <w:lvl w:ilvl="3" w:tplc="0422000F">
      <w:start w:val="1"/>
      <w:numFmt w:val="decimal"/>
      <w:lvlText w:val="%4."/>
      <w:lvlJc w:val="left"/>
      <w:pPr>
        <w:ind w:left="3206" w:hanging="360"/>
      </w:pPr>
    </w:lvl>
    <w:lvl w:ilvl="4" w:tplc="04220019">
      <w:start w:val="1"/>
      <w:numFmt w:val="lowerLetter"/>
      <w:lvlText w:val="%5."/>
      <w:lvlJc w:val="left"/>
      <w:pPr>
        <w:ind w:left="3926" w:hanging="360"/>
      </w:pPr>
    </w:lvl>
    <w:lvl w:ilvl="5" w:tplc="0422001B">
      <w:start w:val="1"/>
      <w:numFmt w:val="lowerRoman"/>
      <w:lvlText w:val="%6."/>
      <w:lvlJc w:val="right"/>
      <w:pPr>
        <w:ind w:left="4646" w:hanging="180"/>
      </w:pPr>
    </w:lvl>
    <w:lvl w:ilvl="6" w:tplc="0422000F">
      <w:start w:val="1"/>
      <w:numFmt w:val="decimal"/>
      <w:lvlText w:val="%7."/>
      <w:lvlJc w:val="left"/>
      <w:pPr>
        <w:ind w:left="5366" w:hanging="360"/>
      </w:pPr>
    </w:lvl>
    <w:lvl w:ilvl="7" w:tplc="04220019">
      <w:start w:val="1"/>
      <w:numFmt w:val="lowerLetter"/>
      <w:lvlText w:val="%8."/>
      <w:lvlJc w:val="left"/>
      <w:pPr>
        <w:ind w:left="6086" w:hanging="360"/>
      </w:pPr>
    </w:lvl>
    <w:lvl w:ilvl="8" w:tplc="0422001B">
      <w:start w:val="1"/>
      <w:numFmt w:val="lowerRoman"/>
      <w:lvlText w:val="%9."/>
      <w:lvlJc w:val="right"/>
      <w:pPr>
        <w:ind w:left="6806" w:hanging="180"/>
      </w:pPr>
    </w:lvl>
  </w:abstractNum>
  <w:abstractNum w:abstractNumId="2" w15:restartNumberingAfterBreak="0">
    <w:nsid w:val="335217BC"/>
    <w:multiLevelType w:val="hybridMultilevel"/>
    <w:tmpl w:val="C492BE0A"/>
    <w:lvl w:ilvl="0" w:tplc="04220011">
      <w:start w:val="1"/>
      <w:numFmt w:val="decimal"/>
      <w:lvlText w:val="%1)"/>
      <w:lvlJc w:val="left"/>
      <w:pPr>
        <w:ind w:left="1058" w:hanging="372"/>
      </w:pPr>
    </w:lvl>
    <w:lvl w:ilvl="1" w:tplc="04220019">
      <w:start w:val="1"/>
      <w:numFmt w:val="lowerLetter"/>
      <w:lvlText w:val="%2."/>
      <w:lvlJc w:val="left"/>
      <w:pPr>
        <w:ind w:left="1766" w:hanging="360"/>
      </w:pPr>
    </w:lvl>
    <w:lvl w:ilvl="2" w:tplc="0422001B">
      <w:start w:val="1"/>
      <w:numFmt w:val="lowerRoman"/>
      <w:lvlText w:val="%3."/>
      <w:lvlJc w:val="right"/>
      <w:pPr>
        <w:ind w:left="2486" w:hanging="180"/>
      </w:pPr>
    </w:lvl>
    <w:lvl w:ilvl="3" w:tplc="0422000F">
      <w:start w:val="1"/>
      <w:numFmt w:val="decimal"/>
      <w:lvlText w:val="%4."/>
      <w:lvlJc w:val="left"/>
      <w:pPr>
        <w:ind w:left="3206" w:hanging="360"/>
      </w:pPr>
    </w:lvl>
    <w:lvl w:ilvl="4" w:tplc="04220019">
      <w:start w:val="1"/>
      <w:numFmt w:val="lowerLetter"/>
      <w:lvlText w:val="%5."/>
      <w:lvlJc w:val="left"/>
      <w:pPr>
        <w:ind w:left="3926" w:hanging="360"/>
      </w:pPr>
    </w:lvl>
    <w:lvl w:ilvl="5" w:tplc="0422001B">
      <w:start w:val="1"/>
      <w:numFmt w:val="lowerRoman"/>
      <w:lvlText w:val="%6."/>
      <w:lvlJc w:val="right"/>
      <w:pPr>
        <w:ind w:left="4646" w:hanging="180"/>
      </w:pPr>
    </w:lvl>
    <w:lvl w:ilvl="6" w:tplc="0422000F">
      <w:start w:val="1"/>
      <w:numFmt w:val="decimal"/>
      <w:lvlText w:val="%7."/>
      <w:lvlJc w:val="left"/>
      <w:pPr>
        <w:ind w:left="5366" w:hanging="360"/>
      </w:pPr>
    </w:lvl>
    <w:lvl w:ilvl="7" w:tplc="04220019">
      <w:start w:val="1"/>
      <w:numFmt w:val="lowerLetter"/>
      <w:lvlText w:val="%8."/>
      <w:lvlJc w:val="left"/>
      <w:pPr>
        <w:ind w:left="6086" w:hanging="360"/>
      </w:pPr>
    </w:lvl>
    <w:lvl w:ilvl="8" w:tplc="0422001B">
      <w:start w:val="1"/>
      <w:numFmt w:val="lowerRoman"/>
      <w:lvlText w:val="%9."/>
      <w:lvlJc w:val="right"/>
      <w:pPr>
        <w:ind w:left="6806" w:hanging="180"/>
      </w:pPr>
    </w:lvl>
  </w:abstractNum>
  <w:abstractNum w:abstractNumId="3" w15:restartNumberingAfterBreak="0">
    <w:nsid w:val="3E24263B"/>
    <w:multiLevelType w:val="hybridMultilevel"/>
    <w:tmpl w:val="D0B8C5F2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3C516C"/>
    <w:multiLevelType w:val="hybridMultilevel"/>
    <w:tmpl w:val="660096CA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B66C79"/>
    <w:multiLevelType w:val="hybridMultilevel"/>
    <w:tmpl w:val="F42E0B24"/>
    <w:lvl w:ilvl="0" w:tplc="360A85D0">
      <w:start w:val="6"/>
      <w:numFmt w:val="bullet"/>
      <w:lvlText w:val="-"/>
      <w:lvlJc w:val="left"/>
      <w:pPr>
        <w:ind w:left="1406" w:hanging="360"/>
      </w:pPr>
      <w:rPr>
        <w:rFonts w:ascii="Times New Roman" w:hAnsi="Times New Roman"/>
      </w:rPr>
    </w:lvl>
    <w:lvl w:ilvl="1" w:tplc="04220003">
      <w:start w:val="1"/>
      <w:numFmt w:val="bullet"/>
      <w:lvlText w:val="o"/>
      <w:lvlJc w:val="left"/>
      <w:pPr>
        <w:ind w:left="2126" w:hanging="360"/>
      </w:pPr>
      <w:rPr>
        <w:rFonts w:ascii="Courier New" w:hAnsi="Courier New"/>
      </w:rPr>
    </w:lvl>
    <w:lvl w:ilvl="2" w:tplc="04220005">
      <w:start w:val="1"/>
      <w:numFmt w:val="bullet"/>
      <w:lvlText w:val=""/>
      <w:lvlJc w:val="left"/>
      <w:pPr>
        <w:ind w:left="2846" w:hanging="360"/>
      </w:pPr>
      <w:rPr>
        <w:rFonts w:ascii="Wingdings" w:hAnsi="Wingdings"/>
      </w:rPr>
    </w:lvl>
    <w:lvl w:ilvl="3" w:tplc="04220001">
      <w:start w:val="1"/>
      <w:numFmt w:val="bullet"/>
      <w:lvlText w:val=""/>
      <w:lvlJc w:val="left"/>
      <w:pPr>
        <w:ind w:left="3566" w:hanging="360"/>
      </w:pPr>
      <w:rPr>
        <w:rFonts w:ascii="Symbol" w:hAnsi="Symbol"/>
      </w:rPr>
    </w:lvl>
    <w:lvl w:ilvl="4" w:tplc="04220003">
      <w:start w:val="1"/>
      <w:numFmt w:val="bullet"/>
      <w:lvlText w:val="o"/>
      <w:lvlJc w:val="left"/>
      <w:pPr>
        <w:ind w:left="4286" w:hanging="360"/>
      </w:pPr>
      <w:rPr>
        <w:rFonts w:ascii="Courier New" w:hAnsi="Courier New"/>
      </w:rPr>
    </w:lvl>
    <w:lvl w:ilvl="5" w:tplc="04220005">
      <w:start w:val="1"/>
      <w:numFmt w:val="bullet"/>
      <w:lvlText w:val=""/>
      <w:lvlJc w:val="left"/>
      <w:pPr>
        <w:ind w:left="5006" w:hanging="360"/>
      </w:pPr>
      <w:rPr>
        <w:rFonts w:ascii="Wingdings" w:hAnsi="Wingdings"/>
      </w:rPr>
    </w:lvl>
    <w:lvl w:ilvl="6" w:tplc="04220001">
      <w:start w:val="1"/>
      <w:numFmt w:val="bullet"/>
      <w:lvlText w:val=""/>
      <w:lvlJc w:val="left"/>
      <w:pPr>
        <w:ind w:left="5726" w:hanging="360"/>
      </w:pPr>
      <w:rPr>
        <w:rFonts w:ascii="Symbol" w:hAnsi="Symbol"/>
      </w:rPr>
    </w:lvl>
    <w:lvl w:ilvl="7" w:tplc="04220003">
      <w:start w:val="1"/>
      <w:numFmt w:val="bullet"/>
      <w:lvlText w:val="o"/>
      <w:lvlJc w:val="left"/>
      <w:pPr>
        <w:ind w:left="6446" w:hanging="360"/>
      </w:pPr>
      <w:rPr>
        <w:rFonts w:ascii="Courier New" w:hAnsi="Courier New"/>
      </w:rPr>
    </w:lvl>
    <w:lvl w:ilvl="8" w:tplc="04220005">
      <w:start w:val="1"/>
      <w:numFmt w:val="bullet"/>
      <w:lvlText w:val=""/>
      <w:lvlJc w:val="left"/>
      <w:pPr>
        <w:ind w:left="7166" w:hanging="360"/>
      </w:pPr>
      <w:rPr>
        <w:rFonts w:ascii="Wingdings" w:hAnsi="Wingdings"/>
      </w:rPr>
    </w:lvl>
  </w:abstractNum>
  <w:abstractNum w:abstractNumId="6" w15:restartNumberingAfterBreak="0">
    <w:nsid w:val="57D5528C"/>
    <w:multiLevelType w:val="hybridMultilevel"/>
    <w:tmpl w:val="0A92C97E"/>
    <w:lvl w:ilvl="0" w:tplc="DB3C2F20">
      <w:start w:val="1"/>
      <w:numFmt w:val="decimal"/>
      <w:lvlText w:val="%1)"/>
      <w:lvlJc w:val="left"/>
      <w:pPr>
        <w:ind w:left="1058" w:hanging="372"/>
      </w:pPr>
    </w:lvl>
    <w:lvl w:ilvl="1" w:tplc="04220019">
      <w:start w:val="1"/>
      <w:numFmt w:val="lowerLetter"/>
      <w:lvlText w:val="%2."/>
      <w:lvlJc w:val="left"/>
      <w:pPr>
        <w:ind w:left="1766" w:hanging="360"/>
      </w:pPr>
    </w:lvl>
    <w:lvl w:ilvl="2" w:tplc="0422001B">
      <w:start w:val="1"/>
      <w:numFmt w:val="lowerRoman"/>
      <w:lvlText w:val="%3."/>
      <w:lvlJc w:val="right"/>
      <w:pPr>
        <w:ind w:left="2486" w:hanging="180"/>
      </w:pPr>
    </w:lvl>
    <w:lvl w:ilvl="3" w:tplc="0422000F">
      <w:start w:val="1"/>
      <w:numFmt w:val="decimal"/>
      <w:lvlText w:val="%4."/>
      <w:lvlJc w:val="left"/>
      <w:pPr>
        <w:ind w:left="3206" w:hanging="360"/>
      </w:pPr>
    </w:lvl>
    <w:lvl w:ilvl="4" w:tplc="04220019">
      <w:start w:val="1"/>
      <w:numFmt w:val="lowerLetter"/>
      <w:lvlText w:val="%5."/>
      <w:lvlJc w:val="left"/>
      <w:pPr>
        <w:ind w:left="3926" w:hanging="360"/>
      </w:pPr>
    </w:lvl>
    <w:lvl w:ilvl="5" w:tplc="0422001B">
      <w:start w:val="1"/>
      <w:numFmt w:val="lowerRoman"/>
      <w:lvlText w:val="%6."/>
      <w:lvlJc w:val="right"/>
      <w:pPr>
        <w:ind w:left="4646" w:hanging="180"/>
      </w:pPr>
    </w:lvl>
    <w:lvl w:ilvl="6" w:tplc="0422000F">
      <w:start w:val="1"/>
      <w:numFmt w:val="decimal"/>
      <w:lvlText w:val="%7."/>
      <w:lvlJc w:val="left"/>
      <w:pPr>
        <w:ind w:left="5366" w:hanging="360"/>
      </w:pPr>
    </w:lvl>
    <w:lvl w:ilvl="7" w:tplc="04220019">
      <w:start w:val="1"/>
      <w:numFmt w:val="lowerLetter"/>
      <w:lvlText w:val="%8."/>
      <w:lvlJc w:val="left"/>
      <w:pPr>
        <w:ind w:left="6086" w:hanging="360"/>
      </w:pPr>
    </w:lvl>
    <w:lvl w:ilvl="8" w:tplc="0422001B">
      <w:start w:val="1"/>
      <w:numFmt w:val="lowerRoman"/>
      <w:lvlText w:val="%9."/>
      <w:lvlJc w:val="right"/>
      <w:pPr>
        <w:ind w:left="6806" w:hanging="180"/>
      </w:pPr>
    </w:lvl>
  </w:abstractNum>
  <w:abstractNum w:abstractNumId="7" w15:restartNumberingAfterBreak="0">
    <w:nsid w:val="6C6705CD"/>
    <w:multiLevelType w:val="hybridMultilevel"/>
    <w:tmpl w:val="62BE972C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0E061E"/>
    <w:multiLevelType w:val="hybridMultilevel"/>
    <w:tmpl w:val="7A9E9E78"/>
    <w:lvl w:ilvl="0" w:tplc="04220011">
      <w:start w:val="1"/>
      <w:numFmt w:val="decimal"/>
      <w:lvlText w:val="%1)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4"/>
  </w:num>
  <w:num w:numId="5">
    <w:abstractNumId w:val="8"/>
  </w:num>
  <w:num w:numId="6">
    <w:abstractNumId w:val="5"/>
  </w:num>
  <w:num w:numId="7">
    <w:abstractNumId w:val="0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C82"/>
    <w:rsid w:val="000547E6"/>
    <w:rsid w:val="00107412"/>
    <w:rsid w:val="00127231"/>
    <w:rsid w:val="00177004"/>
    <w:rsid w:val="002001B3"/>
    <w:rsid w:val="00216200"/>
    <w:rsid w:val="002B45F0"/>
    <w:rsid w:val="00306CE9"/>
    <w:rsid w:val="003910B0"/>
    <w:rsid w:val="005B4C68"/>
    <w:rsid w:val="005B7814"/>
    <w:rsid w:val="00644A46"/>
    <w:rsid w:val="007374FE"/>
    <w:rsid w:val="00747566"/>
    <w:rsid w:val="0075555D"/>
    <w:rsid w:val="00763C82"/>
    <w:rsid w:val="007E4AE0"/>
    <w:rsid w:val="00837292"/>
    <w:rsid w:val="008D2532"/>
    <w:rsid w:val="00917DDA"/>
    <w:rsid w:val="0096533C"/>
    <w:rsid w:val="009E67D1"/>
    <w:rsid w:val="00A56A07"/>
    <w:rsid w:val="00B44636"/>
    <w:rsid w:val="00B84BC1"/>
    <w:rsid w:val="00CA3999"/>
    <w:rsid w:val="00D11A7C"/>
    <w:rsid w:val="00FA2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88EF7"/>
  <w15:docId w15:val="{CA6CE41A-E06E-4D53-9913-71BE1EB10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  <w:jc w:val="both"/>
    </w:pPr>
    <w:rPr>
      <w:rFonts w:ascii="Times New Roman" w:hAnsi="Times New Roman"/>
      <w:sz w:val="28"/>
      <w:szCs w:val="2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819"/>
        <w:tab w:val="right" w:pos="9639"/>
      </w:tabs>
    </w:pPr>
  </w:style>
  <w:style w:type="paragraph" w:styleId="a5">
    <w:name w:val="List Paragraph"/>
    <w:basedOn w:val="a"/>
    <w:qFormat/>
    <w:pPr>
      <w:ind w:left="720"/>
      <w:contextualSpacing/>
    </w:pPr>
  </w:style>
  <w:style w:type="paragraph" w:styleId="a6">
    <w:name w:val="annotation text"/>
    <w:basedOn w:val="a"/>
    <w:link w:val="a7"/>
    <w:semiHidden/>
    <w:rPr>
      <w:sz w:val="20"/>
      <w:szCs w:val="20"/>
    </w:rPr>
  </w:style>
  <w:style w:type="paragraph" w:styleId="a8">
    <w:name w:val="annotation subject"/>
    <w:basedOn w:val="a6"/>
    <w:next w:val="a6"/>
    <w:link w:val="a9"/>
    <w:semiHidden/>
    <w:rPr>
      <w:b/>
      <w:bCs/>
    </w:rPr>
  </w:style>
  <w:style w:type="paragraph" w:styleId="aa">
    <w:name w:val="Balloon Text"/>
    <w:basedOn w:val="a"/>
    <w:link w:val="ab"/>
    <w:semiHidden/>
    <w:rPr>
      <w:rFonts w:ascii="Segoe UI" w:hAnsi="Segoe UI"/>
      <w:sz w:val="18"/>
      <w:szCs w:val="18"/>
    </w:rPr>
  </w:style>
  <w:style w:type="paragraph" w:styleId="ac">
    <w:name w:val="footnote text"/>
    <w:link w:val="ad"/>
    <w:semiHidden/>
    <w:pPr>
      <w:spacing w:after="0" w:line="240" w:lineRule="auto"/>
    </w:pPr>
    <w:rPr>
      <w:sz w:val="20"/>
      <w:szCs w:val="20"/>
    </w:rPr>
  </w:style>
  <w:style w:type="paragraph" w:styleId="ae">
    <w:name w:val="endnote text"/>
    <w:link w:val="af"/>
    <w:semiHidden/>
    <w:pPr>
      <w:spacing w:after="0" w:line="240" w:lineRule="auto"/>
    </w:pPr>
    <w:rPr>
      <w:sz w:val="20"/>
      <w:szCs w:val="20"/>
    </w:rPr>
  </w:style>
  <w:style w:type="character" w:styleId="af0">
    <w:name w:val="line number"/>
    <w:basedOn w:val="a0"/>
    <w:semiHidden/>
  </w:style>
  <w:style w:type="character" w:styleId="af1">
    <w:name w:val="Hyperlink"/>
    <w:rPr>
      <w:color w:val="0000FF"/>
      <w:u w:val="single"/>
    </w:rPr>
  </w:style>
  <w:style w:type="character" w:customStyle="1" w:styleId="a4">
    <w:name w:val="Верхній колонтитул Знак"/>
    <w:basedOn w:val="a0"/>
    <w:link w:val="a3"/>
    <w:rPr>
      <w:rFonts w:ascii="Times New Roman" w:hAnsi="Times New Roman"/>
      <w:sz w:val="28"/>
      <w:szCs w:val="28"/>
      <w:lang w:eastAsia="uk-UA"/>
    </w:rPr>
  </w:style>
  <w:style w:type="character" w:styleId="af2">
    <w:name w:val="annotation reference"/>
    <w:basedOn w:val="a0"/>
    <w:semiHidden/>
    <w:rPr>
      <w:sz w:val="16"/>
      <w:szCs w:val="16"/>
    </w:rPr>
  </w:style>
  <w:style w:type="character" w:customStyle="1" w:styleId="a7">
    <w:name w:val="Текст примітки Знак"/>
    <w:basedOn w:val="a0"/>
    <w:link w:val="a6"/>
    <w:semiHidden/>
    <w:rPr>
      <w:rFonts w:ascii="Times New Roman" w:hAnsi="Times New Roman"/>
      <w:sz w:val="20"/>
      <w:szCs w:val="20"/>
      <w:lang w:eastAsia="uk-UA"/>
    </w:rPr>
  </w:style>
  <w:style w:type="character" w:customStyle="1" w:styleId="a9">
    <w:name w:val="Тема примітки Знак"/>
    <w:basedOn w:val="a7"/>
    <w:link w:val="a8"/>
    <w:semiHidden/>
    <w:rPr>
      <w:rFonts w:ascii="Times New Roman" w:hAnsi="Times New Roman"/>
      <w:b/>
      <w:bCs/>
      <w:sz w:val="20"/>
      <w:szCs w:val="20"/>
      <w:lang w:eastAsia="uk-UA"/>
    </w:rPr>
  </w:style>
  <w:style w:type="character" w:customStyle="1" w:styleId="ab">
    <w:name w:val="Текст у виносці Знак"/>
    <w:basedOn w:val="a0"/>
    <w:link w:val="aa"/>
    <w:semiHidden/>
    <w:rPr>
      <w:rFonts w:ascii="Segoe UI" w:hAnsi="Segoe UI"/>
      <w:sz w:val="18"/>
      <w:szCs w:val="18"/>
      <w:lang w:eastAsia="uk-UA"/>
    </w:rPr>
  </w:style>
  <w:style w:type="character" w:styleId="af3">
    <w:name w:val="footnote reference"/>
    <w:semiHidden/>
    <w:rPr>
      <w:vertAlign w:val="superscript"/>
    </w:rPr>
  </w:style>
  <w:style w:type="character" w:customStyle="1" w:styleId="ad">
    <w:name w:val="Текст виноски Знак"/>
    <w:link w:val="ac"/>
    <w:semiHidden/>
    <w:rPr>
      <w:sz w:val="20"/>
      <w:szCs w:val="20"/>
    </w:rPr>
  </w:style>
  <w:style w:type="character" w:styleId="af4">
    <w:name w:val="endnote reference"/>
    <w:semiHidden/>
    <w:rPr>
      <w:vertAlign w:val="superscript"/>
    </w:rPr>
  </w:style>
  <w:style w:type="character" w:customStyle="1" w:styleId="af">
    <w:name w:val="Текст кінцевої виноски Знак"/>
    <w:link w:val="ae"/>
    <w:semiHidden/>
    <w:rPr>
      <w:sz w:val="20"/>
      <w:szCs w:val="20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5">
    <w:name w:val="Table Grid"/>
    <w:basedOn w:val="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6493</Words>
  <Characters>3702</Characters>
  <Application>Microsoft Office Word</Application>
  <DocSecurity>0</DocSecurity>
  <Lines>30</Lines>
  <Paragraphs>20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NBU</Company>
  <LinksUpToDate>false</LinksUpToDate>
  <CharactersWithSpaces>10175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Смаляна Тетяна Вікторівна</dc:creator>
  <cp:lastModifiedBy>Черноштан Анастасія Сергіївна</cp:lastModifiedBy>
  <cp:revision>5</cp:revision>
  <dcterms:created xsi:type="dcterms:W3CDTF">2023-09-12T11:18:00Z</dcterms:created>
  <dcterms:modified xsi:type="dcterms:W3CDTF">2023-09-12T11:38:00Z</dcterms:modified>
</cp:coreProperties>
</file>