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6503" w14:textId="77777777" w:rsidR="003230BC" w:rsidRPr="00AD7825" w:rsidRDefault="003230BC" w:rsidP="00F65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Аналіз регуляторного впливу</w:t>
      </w:r>
    </w:p>
    <w:p w14:paraId="1442EC11" w14:textId="762F3E65" w:rsidR="003230BC" w:rsidRPr="00AD7825" w:rsidRDefault="003230BC" w:rsidP="00AD7825">
      <w:pPr>
        <w:suppressAutoHyphens/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проєкту</w:t>
      </w:r>
      <w:r w:rsidRPr="00AD78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D782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постанови Правління Національного банку України “</w:t>
      </w:r>
      <w:r w:rsidR="00537FBA" w:rsidRPr="00AD782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затвердження Положення про порядок регулювання діяльності кредитних спілок в Україні</w:t>
      </w:r>
      <w:r w:rsidRPr="00AD782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” </w:t>
      </w:r>
    </w:p>
    <w:p w14:paraId="0D79B226" w14:textId="77777777" w:rsidR="00AD7825" w:rsidRPr="001A384E" w:rsidRDefault="00AD7825" w:rsidP="00AD7825">
      <w:pPr>
        <w:suppressAutoHyphens/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670B29" w14:textId="77777777" w:rsidR="003230BC" w:rsidRPr="00AD7825" w:rsidRDefault="003230B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проблеми, яку передбачається розв’язати шляхом державного регулювання</w:t>
      </w:r>
    </w:p>
    <w:p w14:paraId="1A240C92" w14:textId="66535C8C" w:rsidR="001E6DC5" w:rsidRPr="001A384E" w:rsidRDefault="001E6DC5" w:rsidP="001E6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Національний банк України (далі – Національний банк) відповідно до пункту 8</w:t>
      </w:r>
      <w:r w:rsidR="000B33AE" w:rsidRPr="002C4C57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1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962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частини першої 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межах, визначених Законом України “Про фінансові послуги та фінансові компанії” та іншими законами України.</w:t>
      </w:r>
    </w:p>
    <w:p w14:paraId="74030D5C" w14:textId="4FADEAAA" w:rsidR="001E6DC5" w:rsidRPr="001A384E" w:rsidRDefault="001E6DC5" w:rsidP="001E6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від 14</w:t>
      </w:r>
      <w:r w:rsidR="000B33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липня 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2023</w:t>
      </w:r>
      <w:r w:rsidR="000B33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3254-IX “Про кредитні спілки” (далі – Закон про кредитні спілки), що вводиться в дію з 01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січня 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2024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зокрема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визначає, що Національний банк встановлює для кредитних спілок пруденційні вимоги, у тому числі вимоги до розміру та достатності регулятивного капіталу кредитної спілки, ліквідності, ризиковості операцій. </w:t>
      </w:r>
    </w:p>
    <w:p w14:paraId="342477D6" w14:textId="7244453F" w:rsidR="001E6DC5" w:rsidRPr="001A384E" w:rsidRDefault="001E6DC5" w:rsidP="001E6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Статтею 33 Закону про кредитні спілки визначені складові капіталу кредитної спілки. 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Водночас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вимоги до складових регулятивного капіталу кредитної спілки, їх характеристик та показника достатності регулятивного капіталу визначаються нормативно-правовими актами Національного банку з урахуванням зворотності та здатності цих складових поглинати збитки кредитної спілки. </w:t>
      </w:r>
    </w:p>
    <w:p w14:paraId="7616187E" w14:textId="7747C690" w:rsidR="001E6DC5" w:rsidRPr="001A384E" w:rsidRDefault="001E6DC5" w:rsidP="001E6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Також Законом про кредитні спілки визначено, що строкові додаткові пайові внески можуть включа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тися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регулятивного капіталу кредитної спілки 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A37139"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порядку, встановленому нормативно-правовими актами Національного банку.</w:t>
      </w:r>
    </w:p>
    <w:p w14:paraId="48B68C1D" w14:textId="7000976E" w:rsidR="001E6DC5" w:rsidRPr="001A384E" w:rsidRDefault="001E6DC5" w:rsidP="001E6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Відповідн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регулювання 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немає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A37139"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нормах чинних нормативно-правових актів. Проблема 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того, що</w:t>
      </w:r>
      <w:r w:rsidR="00A37139"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подібних норм у чинних нормативно-правових актах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немає,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може вирішуватися за допомогою ринкових механізмів, оскільки вони стосуються реалізації повноважень Національного банку, визначених Законом про кредитні спілки.</w:t>
      </w:r>
    </w:p>
    <w:p w14:paraId="1E2A1592" w14:textId="2F43A8E2" w:rsidR="003230BC" w:rsidRPr="001A384E" w:rsidRDefault="001E6DC5" w:rsidP="001E6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є потреба у врегулюванні 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зазначених</w:t>
      </w:r>
      <w:r w:rsidR="00A37139"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>питань та затвердженні відповідного нормативно-правового акт</w:t>
      </w:r>
      <w:r w:rsidR="00A37139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1A38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Національного банку.</w:t>
      </w:r>
    </w:p>
    <w:p w14:paraId="4F8A3E22" w14:textId="77777777" w:rsidR="001E6DC5" w:rsidRPr="001A384E" w:rsidRDefault="001E6DC5" w:rsidP="001E6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7E6BC2" w14:textId="77777777" w:rsidR="003230BC" w:rsidRPr="00AD7825" w:rsidRDefault="003230BC" w:rsidP="00F65F3B">
      <w:pPr>
        <w:pStyle w:val="1"/>
        <w:spacing w:before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ІІ.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Визначення цілей державного регулювання </w:t>
      </w:r>
    </w:p>
    <w:p w14:paraId="5DF896F0" w14:textId="2D630BE8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Цілями державного регулювання, що безпосередньо пов’язані з розв’язанням зазначених проблем, є </w:t>
      </w:r>
      <w:r w:rsidRPr="001A384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повноважень Національного банку, визначених Законом про </w:t>
      </w:r>
      <w:r w:rsidR="00A55230" w:rsidRPr="001A384E">
        <w:rPr>
          <w:rFonts w:ascii="Times New Roman" w:hAnsi="Times New Roman" w:cs="Times New Roman"/>
          <w:sz w:val="28"/>
          <w:szCs w:val="28"/>
          <w:lang w:val="uk-UA"/>
        </w:rPr>
        <w:t>кредитні спілки</w:t>
      </w:r>
      <w:r w:rsidRPr="001A384E"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  <w:r w:rsidR="00AD7825" w:rsidRPr="00AD782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для кредитних спілок пруденційних вимог, у тому числі вимог до розміру та достатності регулятивного капіталу кредитної спілки, ліквідності, ризиковості операцій, </w:t>
      </w:r>
      <w:r w:rsidR="00A37139">
        <w:rPr>
          <w:rFonts w:ascii="Times New Roman" w:hAnsi="Times New Roman" w:cs="Times New Roman"/>
          <w:sz w:val="28"/>
          <w:szCs w:val="28"/>
          <w:lang w:val="uk-UA"/>
        </w:rPr>
        <w:t>спрямованих</w:t>
      </w:r>
      <w:r w:rsidR="00A37139" w:rsidRPr="00AD7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825" w:rsidRPr="00AD7825">
        <w:rPr>
          <w:rFonts w:ascii="Times New Roman" w:hAnsi="Times New Roman" w:cs="Times New Roman"/>
          <w:sz w:val="28"/>
          <w:szCs w:val="28"/>
          <w:lang w:val="uk-UA"/>
        </w:rPr>
        <w:t>на забезпечення стабільної діяльності кредитних спілок і своєчасного виконання кредитними спілками зобов’язань перед своїми членами</w:t>
      </w:r>
      <w:r w:rsidR="00CC559D" w:rsidRPr="001A38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C36E80" w14:textId="77777777" w:rsidR="003230BC" w:rsidRPr="001A384E" w:rsidRDefault="003230BC" w:rsidP="00F65F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872DAE5" w14:textId="77777777" w:rsidR="003230BC" w:rsidRPr="00AD7825" w:rsidRDefault="003230B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ІІІ.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та оцінка всіх прийнятних альтернативних способів досягнення зазначених цілей, наведення аргументів щодо переваг обраного способу</w:t>
      </w:r>
    </w:p>
    <w:p w14:paraId="69447E72" w14:textId="77777777" w:rsidR="003230BC" w:rsidRPr="001A384E" w:rsidRDefault="003230BC" w:rsidP="00F65F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Альтернативним способом 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 зазначених цілей</w:t>
      </w:r>
      <w:r w:rsidRPr="001A38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може бути залишення наявного стану законодавства, що регулює питання</w:t>
      </w:r>
      <w:r w:rsidR="000D3104" w:rsidRPr="001A38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51BE3" w:rsidRPr="001A384E">
        <w:rPr>
          <w:rFonts w:ascii="Times New Roman" w:hAnsi="Times New Roman" w:cs="Times New Roman"/>
          <w:sz w:val="28"/>
          <w:szCs w:val="28"/>
          <w:lang w:val="uk-UA"/>
        </w:rPr>
        <w:t>фінансових нормативів та вимог, що обмежують ризики за операціями з фінансовими активами кредитних спілок</w:t>
      </w:r>
      <w:r w:rsidRPr="001A38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03B3D3FA" w14:textId="1A90AACF" w:rsidR="003230BC" w:rsidRPr="001A384E" w:rsidRDefault="008556B0" w:rsidP="00F65F3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 w:rsidRPr="001A384E">
        <w:rPr>
          <w:sz w:val="28"/>
          <w:szCs w:val="28"/>
          <w:lang w:val="uk-UA" w:eastAsia="ru-RU"/>
        </w:rPr>
        <w:t>Однак</w:t>
      </w:r>
      <w:r w:rsidR="00A37139">
        <w:rPr>
          <w:sz w:val="28"/>
          <w:szCs w:val="28"/>
          <w:lang w:val="uk-UA" w:eastAsia="ru-RU"/>
        </w:rPr>
        <w:t xml:space="preserve"> чинне</w:t>
      </w:r>
      <w:r w:rsidRPr="001A384E">
        <w:rPr>
          <w:sz w:val="28"/>
          <w:szCs w:val="28"/>
          <w:lang w:val="uk-UA" w:eastAsia="ru-RU"/>
        </w:rPr>
        <w:t xml:space="preserve"> </w:t>
      </w:r>
      <w:r w:rsidR="003230BC" w:rsidRPr="001A384E">
        <w:rPr>
          <w:sz w:val="28"/>
          <w:szCs w:val="28"/>
          <w:lang w:val="uk-UA" w:eastAsia="ru-RU"/>
        </w:rPr>
        <w:t>законодавств</w:t>
      </w:r>
      <w:r w:rsidR="00A37139">
        <w:rPr>
          <w:sz w:val="28"/>
          <w:szCs w:val="28"/>
          <w:lang w:val="uk-UA" w:eastAsia="ru-RU"/>
        </w:rPr>
        <w:t>о</w:t>
      </w:r>
      <w:r w:rsidR="003230BC" w:rsidRPr="001A384E">
        <w:rPr>
          <w:sz w:val="28"/>
          <w:szCs w:val="28"/>
          <w:lang w:val="uk-UA" w:eastAsia="ru-RU"/>
        </w:rPr>
        <w:t xml:space="preserve"> в цій сфері </w:t>
      </w:r>
      <w:r w:rsidRPr="001A384E">
        <w:rPr>
          <w:sz w:val="28"/>
          <w:szCs w:val="28"/>
          <w:lang w:val="uk-UA" w:eastAsia="ru-RU"/>
        </w:rPr>
        <w:t xml:space="preserve">не </w:t>
      </w:r>
      <w:r w:rsidR="00251BE3" w:rsidRPr="001A384E">
        <w:rPr>
          <w:sz w:val="28"/>
          <w:szCs w:val="28"/>
          <w:lang w:val="uk-UA" w:eastAsia="ru-RU"/>
        </w:rPr>
        <w:t>встановлює пруденційн</w:t>
      </w:r>
      <w:r w:rsidR="00A37139">
        <w:rPr>
          <w:sz w:val="28"/>
          <w:szCs w:val="28"/>
          <w:lang w:val="uk-UA" w:eastAsia="ru-RU"/>
        </w:rPr>
        <w:t>их</w:t>
      </w:r>
      <w:r w:rsidR="00251BE3" w:rsidRPr="001A384E">
        <w:rPr>
          <w:sz w:val="28"/>
          <w:szCs w:val="28"/>
          <w:lang w:val="uk-UA" w:eastAsia="ru-RU"/>
        </w:rPr>
        <w:t xml:space="preserve"> вимог, у тому числі вимог до розміру та достатності регулятивного капіталу кредитної спілки, </w:t>
      </w:r>
      <w:r w:rsidR="00A37139">
        <w:rPr>
          <w:sz w:val="28"/>
          <w:szCs w:val="28"/>
          <w:lang w:val="uk-UA" w:eastAsia="ru-RU"/>
        </w:rPr>
        <w:t xml:space="preserve">а також </w:t>
      </w:r>
      <w:r w:rsidR="00251BE3" w:rsidRPr="001A384E">
        <w:rPr>
          <w:sz w:val="28"/>
          <w:szCs w:val="28"/>
          <w:lang w:val="uk-UA" w:eastAsia="ru-RU"/>
        </w:rPr>
        <w:t>нов</w:t>
      </w:r>
      <w:r w:rsidR="00A37139">
        <w:rPr>
          <w:sz w:val="28"/>
          <w:szCs w:val="28"/>
          <w:lang w:val="uk-UA" w:eastAsia="ru-RU"/>
        </w:rPr>
        <w:t>их</w:t>
      </w:r>
      <w:r w:rsidR="00251BE3" w:rsidRPr="001A384E">
        <w:rPr>
          <w:sz w:val="28"/>
          <w:szCs w:val="28"/>
          <w:lang w:val="uk-UA" w:eastAsia="ru-RU"/>
        </w:rPr>
        <w:t xml:space="preserve"> підход</w:t>
      </w:r>
      <w:r w:rsidR="00A37139">
        <w:rPr>
          <w:sz w:val="28"/>
          <w:szCs w:val="28"/>
          <w:lang w:val="uk-UA" w:eastAsia="ru-RU"/>
        </w:rPr>
        <w:t>ів</w:t>
      </w:r>
      <w:r w:rsidR="00251BE3" w:rsidRPr="001A384E">
        <w:rPr>
          <w:sz w:val="28"/>
          <w:szCs w:val="28"/>
          <w:lang w:val="uk-UA" w:eastAsia="ru-RU"/>
        </w:rPr>
        <w:t xml:space="preserve"> до управління ліквідністю</w:t>
      </w:r>
      <w:bookmarkStart w:id="0" w:name="_GoBack"/>
      <w:bookmarkEnd w:id="0"/>
      <w:r w:rsidR="00251BE3" w:rsidRPr="001A384E">
        <w:rPr>
          <w:sz w:val="28"/>
          <w:szCs w:val="28"/>
          <w:lang w:val="uk-UA" w:eastAsia="ru-RU"/>
        </w:rPr>
        <w:t xml:space="preserve"> </w:t>
      </w:r>
      <w:r w:rsidR="004F5775" w:rsidRPr="001A384E">
        <w:rPr>
          <w:sz w:val="28"/>
          <w:szCs w:val="28"/>
          <w:lang w:val="uk-UA" w:eastAsia="ru-RU"/>
        </w:rPr>
        <w:t>та оцінки</w:t>
      </w:r>
      <w:r w:rsidR="00251BE3" w:rsidRPr="001A384E">
        <w:rPr>
          <w:sz w:val="28"/>
          <w:szCs w:val="28"/>
          <w:lang w:val="uk-UA" w:eastAsia="ru-RU"/>
        </w:rPr>
        <w:t xml:space="preserve"> ризиковості операцій.</w:t>
      </w:r>
    </w:p>
    <w:p w14:paraId="24D7DB43" w14:textId="348E15CC" w:rsidR="003230BC" w:rsidRPr="001A384E" w:rsidRDefault="003230BC" w:rsidP="00F65F3B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 xml:space="preserve">Іншим способом досягнення встановлених цілей є прийняття запропонованого </w:t>
      </w:r>
      <w:r w:rsidR="00AD7825" w:rsidRPr="001A384E">
        <w:rPr>
          <w:rFonts w:eastAsia="Times New Roman"/>
          <w:sz w:val="28"/>
          <w:szCs w:val="28"/>
          <w:lang w:eastAsia="zh-CN"/>
        </w:rPr>
        <w:t>проєкту</w:t>
      </w:r>
      <w:r w:rsidR="00AD7825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AD7825" w:rsidRPr="001A384E">
        <w:rPr>
          <w:rFonts w:eastAsia="Times New Roman"/>
          <w:sz w:val="28"/>
          <w:szCs w:val="28"/>
          <w:lang w:eastAsia="zh-CN"/>
        </w:rPr>
        <w:t>постанови Правління Національного банку України “Про затвердження Положення про порядок регулювання діяльності кредитних спілок в Україні”</w:t>
      </w:r>
      <w:r w:rsidR="00AD7825">
        <w:rPr>
          <w:rFonts w:eastAsia="Times New Roman"/>
          <w:sz w:val="28"/>
          <w:szCs w:val="28"/>
          <w:lang w:eastAsia="zh-CN"/>
        </w:rPr>
        <w:t xml:space="preserve"> (далі </w:t>
      </w:r>
      <w:r w:rsidR="00473F4C">
        <w:rPr>
          <w:rFonts w:eastAsia="Times New Roman"/>
          <w:sz w:val="28"/>
          <w:szCs w:val="28"/>
          <w:lang w:eastAsia="zh-CN"/>
        </w:rPr>
        <w:t>‒</w:t>
      </w:r>
      <w:r w:rsidR="00AD7825">
        <w:rPr>
          <w:rFonts w:eastAsia="Times New Roman"/>
          <w:sz w:val="28"/>
          <w:szCs w:val="28"/>
          <w:lang w:eastAsia="zh-CN"/>
        </w:rPr>
        <w:t xml:space="preserve"> </w:t>
      </w:r>
      <w:r w:rsidR="00473F4C">
        <w:rPr>
          <w:rFonts w:eastAsia="Times New Roman"/>
          <w:sz w:val="28"/>
          <w:szCs w:val="28"/>
          <w:lang w:eastAsia="ru-RU"/>
        </w:rPr>
        <w:t>п</w:t>
      </w:r>
      <w:r w:rsidR="00AD7825">
        <w:rPr>
          <w:rFonts w:eastAsia="Times New Roman"/>
          <w:sz w:val="28"/>
          <w:szCs w:val="28"/>
          <w:lang w:eastAsia="ru-RU"/>
        </w:rPr>
        <w:t>роєкт</w:t>
      </w:r>
      <w:r w:rsidRPr="001A384E">
        <w:rPr>
          <w:rFonts w:eastAsia="Times New Roman"/>
          <w:sz w:val="28"/>
          <w:szCs w:val="28"/>
          <w:lang w:eastAsia="ru-RU"/>
        </w:rPr>
        <w:t xml:space="preserve"> постанови</w:t>
      </w:r>
      <w:r w:rsidR="00AD7825">
        <w:rPr>
          <w:rFonts w:eastAsia="Times New Roman"/>
          <w:sz w:val="28"/>
          <w:szCs w:val="28"/>
          <w:lang w:eastAsia="ru-RU"/>
        </w:rPr>
        <w:t>)</w:t>
      </w:r>
      <w:r w:rsidRPr="001A384E">
        <w:rPr>
          <w:rFonts w:eastAsia="Times New Roman"/>
          <w:sz w:val="28"/>
          <w:szCs w:val="28"/>
          <w:lang w:eastAsia="ru-RU"/>
        </w:rPr>
        <w:t xml:space="preserve">, перевагами якого є якнайшвидше врегулювання норм, які </w:t>
      </w:r>
      <w:r w:rsidR="00695381" w:rsidRPr="001A384E">
        <w:rPr>
          <w:rFonts w:eastAsia="Times New Roman"/>
          <w:sz w:val="28"/>
          <w:szCs w:val="28"/>
          <w:lang w:eastAsia="ru-RU"/>
        </w:rPr>
        <w:t xml:space="preserve">встановлюють </w:t>
      </w:r>
      <w:r w:rsidR="00251BE3" w:rsidRPr="001A384E">
        <w:rPr>
          <w:sz w:val="28"/>
          <w:szCs w:val="28"/>
        </w:rPr>
        <w:t>пруденційні нормативи з урахуванням розміру, значимості кредитної спілки, складності, обсягів, видів, характеру здійснюваних кредитною спілкою операцій, організаційної структури кредитної спілки та ризиків, притаманних її діяльності</w:t>
      </w:r>
      <w:r w:rsidR="00695381" w:rsidRPr="001A384E">
        <w:rPr>
          <w:rFonts w:eastAsia="Times New Roman"/>
          <w:sz w:val="28"/>
          <w:szCs w:val="28"/>
          <w:lang w:eastAsia="ru-RU"/>
        </w:rPr>
        <w:t>.</w:t>
      </w:r>
      <w:r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CC2E95" w:rsidRPr="001A384E">
        <w:rPr>
          <w:rFonts w:eastAsia="Times New Roman"/>
          <w:sz w:val="28"/>
          <w:szCs w:val="28"/>
          <w:lang w:eastAsia="ru-RU"/>
        </w:rPr>
        <w:t xml:space="preserve">Недоліками такого способу є можлива </w:t>
      </w:r>
      <w:r w:rsidR="00473F4C">
        <w:rPr>
          <w:rFonts w:eastAsia="Times New Roman"/>
          <w:sz w:val="28"/>
          <w:szCs w:val="28"/>
          <w:lang w:eastAsia="ru-RU"/>
        </w:rPr>
        <w:t>потреба в</w:t>
      </w:r>
      <w:r w:rsidR="00473F4C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CC2E95" w:rsidRPr="001A384E">
        <w:rPr>
          <w:rFonts w:eastAsia="Times New Roman"/>
          <w:sz w:val="28"/>
          <w:szCs w:val="28"/>
          <w:lang w:eastAsia="ru-RU"/>
        </w:rPr>
        <w:t>додаткових витрат</w:t>
      </w:r>
      <w:r w:rsidR="00473F4C">
        <w:rPr>
          <w:rFonts w:eastAsia="Times New Roman"/>
          <w:sz w:val="28"/>
          <w:szCs w:val="28"/>
          <w:lang w:eastAsia="ru-RU"/>
        </w:rPr>
        <w:t>ах</w:t>
      </w:r>
      <w:r w:rsidR="00CC2E95" w:rsidRPr="001A384E">
        <w:rPr>
          <w:rFonts w:eastAsia="Times New Roman"/>
          <w:sz w:val="28"/>
          <w:szCs w:val="28"/>
          <w:lang w:eastAsia="ru-RU"/>
        </w:rPr>
        <w:t xml:space="preserve"> кредитних спілок, пов’язана з потребою приведення своєї діяльності у відповідність до вимог </w:t>
      </w:r>
      <w:r w:rsidR="00473F4C">
        <w:rPr>
          <w:rFonts w:eastAsia="Times New Roman"/>
          <w:sz w:val="28"/>
          <w:szCs w:val="28"/>
          <w:lang w:eastAsia="ru-RU"/>
        </w:rPr>
        <w:t>п</w:t>
      </w:r>
      <w:r w:rsidR="00CC2E95" w:rsidRPr="001A384E">
        <w:rPr>
          <w:rFonts w:eastAsia="Times New Roman"/>
          <w:sz w:val="28"/>
          <w:szCs w:val="28"/>
          <w:lang w:eastAsia="ru-RU"/>
        </w:rPr>
        <w:t>роєкту постанови.</w:t>
      </w:r>
    </w:p>
    <w:p w14:paraId="08037116" w14:textId="30940EF7" w:rsidR="003230BC" w:rsidRPr="001A384E" w:rsidRDefault="003230BC" w:rsidP="00F65F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Національний банк з урахуванням положень Закону про </w:t>
      </w:r>
      <w:r w:rsidR="00BD2A01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кредитні спілки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обрав варіант прийняття запропонованого проєкту регуляторного акта як найкращий сп</w:t>
      </w:r>
      <w:r w:rsidR="00FE3D23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 досягнення зазначених цілей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07160102" w14:textId="77777777" w:rsidR="003230BC" w:rsidRPr="001A384E" w:rsidRDefault="003230BC" w:rsidP="00F65F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2315D0D" w14:textId="77777777" w:rsidR="003230BC" w:rsidRPr="00AD7825" w:rsidRDefault="003230B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ІV.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Опис механізму, який пропонується застосувати для розв’язання проблеми, і відповідні заходи</w:t>
      </w:r>
    </w:p>
    <w:p w14:paraId="12C5CB85" w14:textId="242950B0" w:rsidR="00AD7825" w:rsidRPr="00AD7825" w:rsidRDefault="00AD7825" w:rsidP="00AD7825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Проєктом постанови встановлюються вимоги в </w:t>
      </w:r>
      <w:r w:rsidR="00473F4C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межах</w:t>
      </w:r>
      <w:r w:rsidR="00473F4C"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реалізації наданих Національним банком повноважень, визначених статтями 33</w:t>
      </w:r>
      <w:r w:rsidR="00473F4C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, </w:t>
      </w: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34, 37</w:t>
      </w:r>
      <w:r w:rsidR="00473F4C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, </w:t>
      </w: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38 Закону про кредитні спілки, уключаючи</w:t>
      </w:r>
      <w:r w:rsidR="00473F4C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щодо</w:t>
      </w: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:</w:t>
      </w:r>
    </w:p>
    <w:p w14:paraId="491D7433" w14:textId="3565AAD8" w:rsidR="00AD7825" w:rsidRPr="00AD7825" w:rsidRDefault="00AD7825" w:rsidP="00AD7825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порядку розрахунку регулятивного капіталу; </w:t>
      </w:r>
    </w:p>
    <w:p w14:paraId="09FF9BED" w14:textId="01E68D56" w:rsidR="00AD7825" w:rsidRPr="00AD7825" w:rsidRDefault="00AD7825" w:rsidP="00AD7825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нормативів капіталу (достатності регулятивного капіталу, достатності капіталу першого рівня та </w:t>
      </w:r>
      <w:r w:rsidR="00473F4C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щодо розміру </w:t>
      </w: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комбінован</w:t>
      </w:r>
      <w:r w:rsidR="00473F4C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ого</w:t>
      </w: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буфер</w:t>
      </w:r>
      <w:r w:rsidR="00473F4C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а</w:t>
      </w: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капіталу); </w:t>
      </w:r>
    </w:p>
    <w:p w14:paraId="2E0D8CF2" w14:textId="2B49B754" w:rsidR="00AD7825" w:rsidRPr="00AD7825" w:rsidRDefault="00AD7825" w:rsidP="00AD7825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нормативів концентрації кредитного ризику та ліквідності; </w:t>
      </w:r>
    </w:p>
    <w:p w14:paraId="58E4DC15" w14:textId="1135D2E6" w:rsidR="00AD7825" w:rsidRPr="00AD7825" w:rsidRDefault="00AD7825" w:rsidP="00AD7825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включення строкових додаткових пайових внесків до регулятивного капіталу кредитної спілки; </w:t>
      </w:r>
    </w:p>
    <w:p w14:paraId="12F861CB" w14:textId="78133515" w:rsidR="003C3014" w:rsidRDefault="00AD7825" w:rsidP="00AD7825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порядку використання резервного капіталу кредитної спілки для покриття збитків; </w:t>
      </w:r>
    </w:p>
    <w:p w14:paraId="5EDBE5FF" w14:textId="76B3254D" w:rsidR="00AD7825" w:rsidRPr="00AD7825" w:rsidRDefault="00AD7825" w:rsidP="00AD7825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вимог до операцій, які обмежують ризики кредитних спілок за операціями з фінансовими інструментами; </w:t>
      </w:r>
    </w:p>
    <w:p w14:paraId="797EAB07" w14:textId="1F3B8901" w:rsidR="00CC2E95" w:rsidRPr="00AD7825" w:rsidRDefault="00AD7825" w:rsidP="00AD78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AD782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форми складання та додаткові вимоги до змісту плану відновлення діяльності кредитної спілки.</w:t>
      </w:r>
    </w:p>
    <w:p w14:paraId="71651E6C" w14:textId="77777777" w:rsidR="00473F4C" w:rsidRDefault="00473F4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</w:p>
    <w:p w14:paraId="0B741B7D" w14:textId="6F6E3145" w:rsidR="003230BC" w:rsidRPr="00AD7825" w:rsidRDefault="003230B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Обґрунтування можливості досягнення визначених цілей у разі прийняття регуляторного акта</w:t>
      </w:r>
    </w:p>
    <w:p w14:paraId="004F4C47" w14:textId="5530D373" w:rsidR="003230BC" w:rsidRPr="001A384E" w:rsidRDefault="003230BC" w:rsidP="00F65F3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384E">
        <w:rPr>
          <w:sz w:val="28"/>
          <w:szCs w:val="28"/>
        </w:rPr>
        <w:t xml:space="preserve">Вимоги регуляторного акта обов’язкові для виконання </w:t>
      </w:r>
      <w:r w:rsidR="00473F4C">
        <w:rPr>
          <w:sz w:val="28"/>
          <w:szCs w:val="28"/>
        </w:rPr>
        <w:t>в</w:t>
      </w:r>
      <w:r w:rsidRPr="001A384E">
        <w:rPr>
          <w:sz w:val="28"/>
          <w:szCs w:val="28"/>
        </w:rPr>
        <w:t xml:space="preserve">сіма </w:t>
      </w:r>
      <w:r w:rsidR="00896E4D" w:rsidRPr="001A384E">
        <w:rPr>
          <w:sz w:val="28"/>
          <w:szCs w:val="28"/>
        </w:rPr>
        <w:t>кредитними спілками</w:t>
      </w:r>
      <w:r w:rsidR="00FE3D23" w:rsidRPr="001A384E">
        <w:rPr>
          <w:sz w:val="28"/>
          <w:szCs w:val="28"/>
        </w:rPr>
        <w:t xml:space="preserve">, які мають </w:t>
      </w:r>
      <w:r w:rsidR="00CC2E95" w:rsidRPr="001A384E">
        <w:rPr>
          <w:sz w:val="28"/>
          <w:szCs w:val="28"/>
        </w:rPr>
        <w:t>ліцензію на діяльність кредитної спілки</w:t>
      </w:r>
      <w:r w:rsidRPr="001A384E">
        <w:rPr>
          <w:sz w:val="28"/>
          <w:szCs w:val="28"/>
        </w:rPr>
        <w:t xml:space="preserve">. Ризик як негативного, так і позитивного впливу зовнішніх чинників на дію цього регуляторного акта потенційно зумовлюється </w:t>
      </w:r>
      <w:r w:rsidR="00473F4C">
        <w:rPr>
          <w:sz w:val="28"/>
          <w:szCs w:val="28"/>
        </w:rPr>
        <w:t>насамперед</w:t>
      </w:r>
      <w:r w:rsidRPr="001A384E">
        <w:rPr>
          <w:sz w:val="28"/>
          <w:szCs w:val="28"/>
        </w:rPr>
        <w:t xml:space="preserve"> змінами в законодавчих актах України, що може призвести до потреби внесення змін до цього регуляторного акта.</w:t>
      </w:r>
    </w:p>
    <w:p w14:paraId="7D2DE64D" w14:textId="28C8028B" w:rsidR="003230BC" w:rsidRPr="001A384E" w:rsidRDefault="00473F4C" w:rsidP="00F65F3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230BC" w:rsidRPr="001A384E">
        <w:rPr>
          <w:sz w:val="28"/>
          <w:szCs w:val="28"/>
        </w:rPr>
        <w:t>провадження вимог такого регуляторного акта не потребує додаткових витрат Національного банку, оскільки здійснюється в межах його повноважень.</w:t>
      </w:r>
    </w:p>
    <w:p w14:paraId="04D5C33A" w14:textId="710E2FA9" w:rsidR="00EA65DB" w:rsidRPr="001A384E" w:rsidRDefault="003230BC" w:rsidP="00F65F3B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 xml:space="preserve">Для </w:t>
      </w:r>
      <w:r w:rsidR="005C00BE" w:rsidRPr="001A384E">
        <w:rPr>
          <w:rFonts w:eastAsia="Times New Roman"/>
          <w:sz w:val="28"/>
          <w:szCs w:val="28"/>
          <w:lang w:eastAsia="ru-RU"/>
        </w:rPr>
        <w:t xml:space="preserve">кредитних спілок </w:t>
      </w:r>
      <w:r w:rsidR="00473F4C">
        <w:rPr>
          <w:rFonts w:eastAsia="Times New Roman"/>
          <w:sz w:val="28"/>
          <w:szCs w:val="28"/>
          <w:lang w:eastAsia="ru-RU"/>
        </w:rPr>
        <w:t>в разі</w:t>
      </w:r>
      <w:r w:rsidR="00473F4C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5C00BE" w:rsidRPr="001A384E">
        <w:rPr>
          <w:rFonts w:eastAsia="Times New Roman"/>
          <w:sz w:val="28"/>
          <w:szCs w:val="28"/>
          <w:lang w:eastAsia="ru-RU"/>
        </w:rPr>
        <w:t>впров</w:t>
      </w:r>
      <w:r w:rsidR="00EB6BEF" w:rsidRPr="001A384E">
        <w:rPr>
          <w:rFonts w:eastAsia="Times New Roman"/>
          <w:sz w:val="28"/>
          <w:szCs w:val="28"/>
          <w:lang w:eastAsia="ru-RU"/>
        </w:rPr>
        <w:t>адженн</w:t>
      </w:r>
      <w:r w:rsidR="00473F4C">
        <w:rPr>
          <w:rFonts w:eastAsia="Times New Roman"/>
          <w:sz w:val="28"/>
          <w:szCs w:val="28"/>
          <w:lang w:eastAsia="ru-RU"/>
        </w:rPr>
        <w:t>я</w:t>
      </w:r>
      <w:r w:rsidR="00EB6BEF" w:rsidRPr="001A384E">
        <w:rPr>
          <w:rFonts w:eastAsia="Times New Roman"/>
          <w:sz w:val="28"/>
          <w:szCs w:val="28"/>
          <w:lang w:eastAsia="ru-RU"/>
        </w:rPr>
        <w:t xml:space="preserve"> цього регуляторного акта</w:t>
      </w:r>
      <w:r w:rsidR="005C00BE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Pr="001A384E">
        <w:rPr>
          <w:rFonts w:eastAsia="Times New Roman"/>
          <w:sz w:val="28"/>
          <w:szCs w:val="28"/>
          <w:lang w:eastAsia="ru-RU"/>
        </w:rPr>
        <w:t>можливі додаткові витрати для забезпечення його виконання</w:t>
      </w:r>
      <w:r w:rsidR="00EA65DB" w:rsidRPr="001A384E">
        <w:rPr>
          <w:rFonts w:eastAsia="Times New Roman"/>
          <w:sz w:val="28"/>
          <w:szCs w:val="28"/>
          <w:lang w:eastAsia="ru-RU"/>
        </w:rPr>
        <w:t>. Кредитні спілки, які мають низьку долю капіталу першого рівня, повинні будуть змінити структуру власного капіталу</w:t>
      </w:r>
      <w:r w:rsidR="00473F4C">
        <w:rPr>
          <w:rFonts w:eastAsia="Times New Roman"/>
          <w:sz w:val="28"/>
          <w:szCs w:val="28"/>
          <w:lang w:eastAsia="ru-RU"/>
        </w:rPr>
        <w:t>,</w:t>
      </w:r>
      <w:r w:rsidR="00EA65DB" w:rsidRPr="001A384E">
        <w:rPr>
          <w:rFonts w:eastAsia="Times New Roman"/>
          <w:sz w:val="28"/>
          <w:szCs w:val="28"/>
          <w:lang w:eastAsia="ru-RU"/>
        </w:rPr>
        <w:t xml:space="preserve"> зменшивши долю елементів </w:t>
      </w:r>
      <w:r w:rsidR="00DC2096" w:rsidRPr="001A384E">
        <w:rPr>
          <w:rFonts w:eastAsia="Times New Roman"/>
          <w:sz w:val="28"/>
          <w:szCs w:val="28"/>
          <w:lang w:eastAsia="ru-RU"/>
        </w:rPr>
        <w:t>капіталу другого рівня</w:t>
      </w:r>
      <w:r w:rsidR="00EA65DB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473F4C">
        <w:rPr>
          <w:rFonts w:eastAsia="Times New Roman"/>
          <w:sz w:val="28"/>
          <w:szCs w:val="28"/>
          <w:lang w:eastAsia="ru-RU"/>
        </w:rPr>
        <w:t xml:space="preserve">та </w:t>
      </w:r>
      <w:r w:rsidR="00EA65DB" w:rsidRPr="001A384E">
        <w:rPr>
          <w:rFonts w:eastAsia="Times New Roman"/>
          <w:sz w:val="28"/>
          <w:szCs w:val="28"/>
          <w:lang w:eastAsia="ru-RU"/>
        </w:rPr>
        <w:t>збільшивши за їх рахунок долю елементів капіталу</w:t>
      </w:r>
      <w:r w:rsidR="00DC2096" w:rsidRPr="001A384E">
        <w:rPr>
          <w:rFonts w:eastAsia="Times New Roman"/>
          <w:sz w:val="28"/>
          <w:szCs w:val="28"/>
          <w:lang w:eastAsia="ru-RU"/>
        </w:rPr>
        <w:t xml:space="preserve"> першого рівня</w:t>
      </w:r>
      <w:r w:rsidR="00EA65DB" w:rsidRPr="001A384E">
        <w:rPr>
          <w:rFonts w:eastAsia="Times New Roman"/>
          <w:sz w:val="28"/>
          <w:szCs w:val="28"/>
          <w:lang w:eastAsia="ru-RU"/>
        </w:rPr>
        <w:t xml:space="preserve">. </w:t>
      </w:r>
      <w:r w:rsidR="00473F4C">
        <w:rPr>
          <w:rFonts w:eastAsia="Times New Roman"/>
          <w:sz w:val="28"/>
          <w:szCs w:val="28"/>
          <w:lang w:eastAsia="ru-RU"/>
        </w:rPr>
        <w:t>Залежно</w:t>
      </w:r>
      <w:r w:rsidR="00EA65DB" w:rsidRPr="001A384E">
        <w:rPr>
          <w:rFonts w:eastAsia="Times New Roman"/>
          <w:sz w:val="28"/>
          <w:szCs w:val="28"/>
          <w:lang w:eastAsia="ru-RU"/>
        </w:rPr>
        <w:t xml:space="preserve"> від наявності достатнього розміру власного капіталу це може бути здійснено без понесення значних в</w:t>
      </w:r>
      <w:r w:rsidR="00BF616C">
        <w:rPr>
          <w:rFonts w:eastAsia="Times New Roman"/>
          <w:sz w:val="28"/>
          <w:szCs w:val="28"/>
          <w:lang w:eastAsia="ru-RU"/>
        </w:rPr>
        <w:t>и</w:t>
      </w:r>
      <w:r w:rsidR="00EA65DB" w:rsidRPr="001A384E">
        <w:rPr>
          <w:rFonts w:eastAsia="Times New Roman"/>
          <w:sz w:val="28"/>
          <w:szCs w:val="28"/>
          <w:lang w:eastAsia="ru-RU"/>
        </w:rPr>
        <w:t>трат</w:t>
      </w:r>
      <w:r w:rsidR="00DC2096" w:rsidRPr="001A384E">
        <w:rPr>
          <w:rFonts w:eastAsia="Times New Roman"/>
          <w:sz w:val="28"/>
          <w:szCs w:val="28"/>
          <w:lang w:eastAsia="ru-RU"/>
        </w:rPr>
        <w:t xml:space="preserve"> шляхом </w:t>
      </w:r>
      <w:r w:rsidR="00EA65DB" w:rsidRPr="001A384E">
        <w:rPr>
          <w:rFonts w:eastAsia="Times New Roman"/>
          <w:sz w:val="28"/>
          <w:szCs w:val="28"/>
          <w:lang w:eastAsia="ru-RU"/>
        </w:rPr>
        <w:t>зміни структур</w:t>
      </w:r>
      <w:r w:rsidR="00473F4C">
        <w:rPr>
          <w:rFonts w:eastAsia="Times New Roman"/>
          <w:sz w:val="28"/>
          <w:szCs w:val="28"/>
          <w:lang w:eastAsia="ru-RU"/>
        </w:rPr>
        <w:t>и</w:t>
      </w:r>
      <w:r w:rsidR="00EA65DB" w:rsidRPr="001A384E">
        <w:rPr>
          <w:rFonts w:eastAsia="Times New Roman"/>
          <w:sz w:val="28"/>
          <w:szCs w:val="28"/>
          <w:lang w:eastAsia="ru-RU"/>
        </w:rPr>
        <w:t xml:space="preserve"> капіталу.</w:t>
      </w:r>
    </w:p>
    <w:p w14:paraId="64E9261C" w14:textId="1531128D" w:rsidR="003230BC" w:rsidRPr="001A384E" w:rsidRDefault="00EA65DB" w:rsidP="00F65F3B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>Кредитні спілки, які мають значний розмір активів прострочених понад 90 днів</w:t>
      </w:r>
      <w:r w:rsidR="00500863">
        <w:rPr>
          <w:rFonts w:eastAsia="Times New Roman"/>
          <w:sz w:val="28"/>
          <w:szCs w:val="28"/>
          <w:lang w:val="ru-RU" w:eastAsia="ru-RU"/>
        </w:rPr>
        <w:t>,</w:t>
      </w:r>
      <w:r w:rsidRPr="001A384E">
        <w:rPr>
          <w:rFonts w:eastAsia="Times New Roman"/>
          <w:sz w:val="28"/>
          <w:szCs w:val="28"/>
          <w:lang w:eastAsia="ru-RU"/>
        </w:rPr>
        <w:t xml:space="preserve"> повинні будуть компенсувати зменшення капіталу на розмір непокритих кредитних ризиків</w:t>
      </w:r>
      <w:r w:rsidR="00376AC7" w:rsidRPr="001A384E">
        <w:rPr>
          <w:rFonts w:eastAsia="Times New Roman"/>
          <w:sz w:val="28"/>
          <w:szCs w:val="28"/>
          <w:lang w:eastAsia="ru-RU"/>
        </w:rPr>
        <w:t xml:space="preserve">. </w:t>
      </w:r>
      <w:r w:rsidR="00BF616C">
        <w:rPr>
          <w:rFonts w:eastAsia="Times New Roman"/>
          <w:sz w:val="28"/>
          <w:szCs w:val="28"/>
          <w:lang w:eastAsia="ru-RU"/>
        </w:rPr>
        <w:t xml:space="preserve">Водночас </w:t>
      </w:r>
      <w:r w:rsidR="00376AC7" w:rsidRPr="001A384E">
        <w:rPr>
          <w:rFonts w:eastAsia="Times New Roman"/>
          <w:sz w:val="28"/>
          <w:szCs w:val="28"/>
          <w:lang w:eastAsia="ru-RU"/>
        </w:rPr>
        <w:t>проєкт регуляторного акта передбачає перехідний період для його імплементації</w:t>
      </w:r>
      <w:r w:rsidR="003230BC" w:rsidRPr="001A384E">
        <w:rPr>
          <w:rFonts w:eastAsia="Times New Roman"/>
          <w:sz w:val="28"/>
          <w:szCs w:val="28"/>
          <w:lang w:eastAsia="ru-RU"/>
        </w:rPr>
        <w:t>.</w:t>
      </w:r>
    </w:p>
    <w:p w14:paraId="5F67FE6D" w14:textId="77777777" w:rsidR="003230BC" w:rsidRPr="001A384E" w:rsidRDefault="003230BC" w:rsidP="00F65F3B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 xml:space="preserve">Здійснення державного контролю та нагляду за додержанням вимог акта відбуватиметься в межах здійснення Національним банком наглядової діяльності на </w:t>
      </w:r>
      <w:r w:rsidR="00896E4D" w:rsidRPr="001A384E">
        <w:rPr>
          <w:rFonts w:eastAsia="Times New Roman"/>
          <w:sz w:val="28"/>
          <w:szCs w:val="28"/>
          <w:lang w:eastAsia="ru-RU"/>
        </w:rPr>
        <w:t>ринку кредитних спілок</w:t>
      </w:r>
      <w:r w:rsidRPr="001A384E">
        <w:rPr>
          <w:rFonts w:eastAsia="Times New Roman"/>
          <w:sz w:val="28"/>
          <w:szCs w:val="28"/>
          <w:lang w:eastAsia="ru-RU"/>
        </w:rPr>
        <w:t>.</w:t>
      </w:r>
    </w:p>
    <w:p w14:paraId="339877E9" w14:textId="77777777" w:rsidR="003230BC" w:rsidRPr="001A384E" w:rsidRDefault="003230BC" w:rsidP="00F65F3B">
      <w:pPr>
        <w:widowControl w:val="0"/>
        <w:tabs>
          <w:tab w:val="left" w:pos="68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B3CF717" w14:textId="77777777" w:rsidR="003230BC" w:rsidRPr="00AD7825" w:rsidRDefault="003230B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VI.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очікуваних результатів прийняття акта</w:t>
      </w:r>
    </w:p>
    <w:p w14:paraId="6CE01833" w14:textId="6AEEDB98" w:rsidR="003230BC" w:rsidRPr="001A384E" w:rsidRDefault="003230BC" w:rsidP="00F65F3B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 xml:space="preserve">Основними позитивними наслідками прийняття </w:t>
      </w:r>
      <w:r w:rsidR="00BF616C">
        <w:rPr>
          <w:rFonts w:eastAsia="Times New Roman"/>
          <w:sz w:val="28"/>
          <w:szCs w:val="28"/>
          <w:lang w:eastAsia="ru-RU"/>
        </w:rPr>
        <w:t>п</w:t>
      </w:r>
      <w:r w:rsidRPr="001A384E">
        <w:rPr>
          <w:rFonts w:eastAsia="Times New Roman"/>
          <w:sz w:val="28"/>
          <w:szCs w:val="28"/>
          <w:lang w:eastAsia="ru-RU"/>
        </w:rPr>
        <w:t>роєкту постанови є:</w:t>
      </w:r>
    </w:p>
    <w:p w14:paraId="6C0D5DA0" w14:textId="6534BBE1" w:rsidR="00970E05" w:rsidRPr="001A384E" w:rsidRDefault="00970E05" w:rsidP="00970E05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>1</w:t>
      </w:r>
      <w:r w:rsidR="002B0E88" w:rsidRPr="001A384E">
        <w:rPr>
          <w:rFonts w:eastAsia="Times New Roman"/>
          <w:sz w:val="28"/>
          <w:szCs w:val="28"/>
          <w:lang w:eastAsia="ru-RU"/>
        </w:rPr>
        <w:t>)</w:t>
      </w:r>
      <w:r w:rsidRPr="001A384E">
        <w:rPr>
          <w:rFonts w:eastAsia="Times New Roman"/>
          <w:sz w:val="28"/>
          <w:szCs w:val="28"/>
          <w:lang w:eastAsia="ru-RU"/>
        </w:rPr>
        <w:t> </w:t>
      </w:r>
      <w:r w:rsidR="00EA65DB" w:rsidRPr="001A384E">
        <w:rPr>
          <w:rFonts w:eastAsia="Times New Roman"/>
          <w:sz w:val="28"/>
          <w:szCs w:val="28"/>
          <w:lang w:eastAsia="ru-RU"/>
        </w:rPr>
        <w:t>запровадження нових капітальних інструментів</w:t>
      </w:r>
      <w:r w:rsidR="00BF616C">
        <w:rPr>
          <w:rFonts w:eastAsia="Times New Roman"/>
          <w:sz w:val="28"/>
          <w:szCs w:val="28"/>
          <w:lang w:eastAsia="ru-RU"/>
        </w:rPr>
        <w:t>, що будуть</w:t>
      </w:r>
      <w:r w:rsidR="00EA65DB" w:rsidRPr="001A384E">
        <w:rPr>
          <w:rFonts w:eastAsia="Times New Roman"/>
          <w:sz w:val="28"/>
          <w:szCs w:val="28"/>
          <w:lang w:eastAsia="ru-RU"/>
        </w:rPr>
        <w:t xml:space="preserve"> доступни</w:t>
      </w:r>
      <w:r w:rsidR="00BF616C">
        <w:rPr>
          <w:rFonts w:eastAsia="Times New Roman"/>
          <w:sz w:val="28"/>
          <w:szCs w:val="28"/>
          <w:lang w:eastAsia="ru-RU"/>
        </w:rPr>
        <w:t>ми</w:t>
      </w:r>
      <w:r w:rsidR="00EA65DB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2C6EFA" w:rsidRPr="001A384E">
        <w:rPr>
          <w:rFonts w:eastAsia="Times New Roman"/>
          <w:sz w:val="28"/>
          <w:szCs w:val="28"/>
          <w:lang w:eastAsia="ru-RU"/>
        </w:rPr>
        <w:t>кредитни</w:t>
      </w:r>
      <w:r w:rsidR="00EA65DB" w:rsidRPr="001A384E">
        <w:rPr>
          <w:rFonts w:eastAsia="Times New Roman"/>
          <w:sz w:val="28"/>
          <w:szCs w:val="28"/>
          <w:lang w:eastAsia="ru-RU"/>
        </w:rPr>
        <w:t>м</w:t>
      </w:r>
      <w:r w:rsidR="002C6EFA" w:rsidRPr="001A384E">
        <w:rPr>
          <w:rFonts w:eastAsia="Times New Roman"/>
          <w:sz w:val="28"/>
          <w:szCs w:val="28"/>
          <w:lang w:eastAsia="ru-RU"/>
        </w:rPr>
        <w:t xml:space="preserve"> спілк</w:t>
      </w:r>
      <w:r w:rsidR="00EA65DB" w:rsidRPr="001A384E">
        <w:rPr>
          <w:rFonts w:eastAsia="Times New Roman"/>
          <w:sz w:val="28"/>
          <w:szCs w:val="28"/>
          <w:lang w:eastAsia="ru-RU"/>
        </w:rPr>
        <w:t>ам</w:t>
      </w:r>
      <w:r w:rsidRPr="001A384E">
        <w:rPr>
          <w:rFonts w:eastAsia="Times New Roman"/>
          <w:sz w:val="28"/>
          <w:szCs w:val="28"/>
          <w:lang w:eastAsia="ru-RU"/>
        </w:rPr>
        <w:t xml:space="preserve"> для виконання вимог </w:t>
      </w:r>
      <w:r w:rsidR="002C6EFA" w:rsidRPr="001A384E">
        <w:rPr>
          <w:rFonts w:eastAsia="Times New Roman"/>
          <w:sz w:val="28"/>
          <w:szCs w:val="28"/>
          <w:lang w:eastAsia="ru-RU"/>
        </w:rPr>
        <w:t>щодо</w:t>
      </w:r>
      <w:r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2C6EFA" w:rsidRPr="001A384E">
        <w:rPr>
          <w:rFonts w:eastAsia="Times New Roman"/>
          <w:sz w:val="28"/>
          <w:szCs w:val="28"/>
          <w:lang w:eastAsia="ru-RU"/>
        </w:rPr>
        <w:t xml:space="preserve">достатності </w:t>
      </w:r>
      <w:r w:rsidRPr="001A384E">
        <w:rPr>
          <w:rFonts w:eastAsia="Times New Roman"/>
          <w:sz w:val="28"/>
          <w:szCs w:val="28"/>
          <w:lang w:eastAsia="ru-RU"/>
        </w:rPr>
        <w:t xml:space="preserve">капіталу </w:t>
      </w:r>
      <w:r w:rsidR="002C6EFA" w:rsidRPr="001A384E">
        <w:rPr>
          <w:rFonts w:eastAsia="Times New Roman"/>
          <w:sz w:val="28"/>
          <w:szCs w:val="28"/>
          <w:lang w:eastAsia="ru-RU"/>
        </w:rPr>
        <w:t>кредитної спілки</w:t>
      </w:r>
      <w:r w:rsidR="00B50E75" w:rsidRPr="00B50E75">
        <w:rPr>
          <w:rFonts w:eastAsia="Times New Roman"/>
          <w:sz w:val="28"/>
          <w:szCs w:val="28"/>
          <w:lang w:eastAsia="ru-RU"/>
        </w:rPr>
        <w:t>:</w:t>
      </w:r>
      <w:r w:rsidR="00EA65DB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64105B" w:rsidRPr="001A384E">
        <w:rPr>
          <w:rFonts w:eastAsia="Times New Roman"/>
          <w:sz w:val="28"/>
          <w:szCs w:val="28"/>
          <w:lang w:eastAsia="ru-RU"/>
        </w:rPr>
        <w:t>включення в додатковий капітал певних видів строкових додаткових пайових внесків</w:t>
      </w:r>
      <w:r w:rsidR="002C6EFA" w:rsidRPr="001A384E">
        <w:rPr>
          <w:rFonts w:eastAsia="Times New Roman"/>
          <w:sz w:val="28"/>
          <w:szCs w:val="28"/>
          <w:lang w:eastAsia="ru-RU"/>
        </w:rPr>
        <w:t>;</w:t>
      </w:r>
    </w:p>
    <w:p w14:paraId="30EAEEA1" w14:textId="5AD54192" w:rsidR="00E31B14" w:rsidRPr="001A384E" w:rsidRDefault="001A384E" w:rsidP="00145D2D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sz w:val="28"/>
          <w:szCs w:val="28"/>
          <w:lang w:eastAsia="ru-RU"/>
        </w:rPr>
        <w:t>2) встановлен</w:t>
      </w:r>
      <w:r w:rsidR="00BF616C">
        <w:rPr>
          <w:sz w:val="28"/>
          <w:szCs w:val="28"/>
          <w:lang w:eastAsia="ru-RU"/>
        </w:rPr>
        <w:t>ня</w:t>
      </w:r>
      <w:r w:rsidRPr="001A384E">
        <w:rPr>
          <w:sz w:val="28"/>
          <w:szCs w:val="28"/>
          <w:lang w:eastAsia="ru-RU"/>
        </w:rPr>
        <w:t xml:space="preserve"> вимог до складання та </w:t>
      </w:r>
      <w:r w:rsidR="003C3014">
        <w:rPr>
          <w:sz w:val="28"/>
          <w:szCs w:val="28"/>
          <w:lang w:eastAsia="ru-RU"/>
        </w:rPr>
        <w:t xml:space="preserve">додаткових вимог до </w:t>
      </w:r>
      <w:r w:rsidRPr="001A384E">
        <w:rPr>
          <w:sz w:val="28"/>
          <w:szCs w:val="28"/>
          <w:lang w:eastAsia="ru-RU"/>
        </w:rPr>
        <w:t xml:space="preserve">плану відновлення діяльності кредитної спілки, яка має порушення або зниження нормативних значень, </w:t>
      </w:r>
      <w:r w:rsidR="00BF616C">
        <w:rPr>
          <w:sz w:val="28"/>
          <w:szCs w:val="28"/>
          <w:lang w:eastAsia="ru-RU"/>
        </w:rPr>
        <w:t>у</w:t>
      </w:r>
      <w:r w:rsidRPr="001A384E">
        <w:rPr>
          <w:sz w:val="28"/>
          <w:szCs w:val="28"/>
          <w:lang w:eastAsia="ru-RU"/>
        </w:rPr>
        <w:t xml:space="preserve">становлених </w:t>
      </w:r>
      <w:r w:rsidR="00BF616C">
        <w:rPr>
          <w:sz w:val="28"/>
          <w:szCs w:val="28"/>
          <w:lang w:eastAsia="ru-RU"/>
        </w:rPr>
        <w:t>п</w:t>
      </w:r>
      <w:r w:rsidR="00BF616C" w:rsidRPr="001A384E">
        <w:rPr>
          <w:sz w:val="28"/>
          <w:szCs w:val="28"/>
          <w:lang w:eastAsia="ru-RU"/>
        </w:rPr>
        <w:t xml:space="preserve">роєктом </w:t>
      </w:r>
      <w:r w:rsidRPr="001A384E">
        <w:rPr>
          <w:sz w:val="28"/>
          <w:szCs w:val="28"/>
          <w:lang w:eastAsia="ru-RU"/>
        </w:rPr>
        <w:t>постанови;</w:t>
      </w:r>
    </w:p>
    <w:p w14:paraId="0B9D4156" w14:textId="3D42AD30" w:rsidR="00145D2D" w:rsidRPr="001A384E" w:rsidRDefault="002B0E88" w:rsidP="00145D2D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>3</w:t>
      </w:r>
      <w:r w:rsidR="003E1573" w:rsidRPr="001A384E">
        <w:rPr>
          <w:rFonts w:eastAsia="Times New Roman"/>
          <w:sz w:val="28"/>
          <w:szCs w:val="28"/>
          <w:lang w:eastAsia="ru-RU"/>
        </w:rPr>
        <w:t>)</w:t>
      </w:r>
      <w:r w:rsidR="00802A60" w:rsidRPr="001A384E">
        <w:rPr>
          <w:rFonts w:eastAsia="Times New Roman"/>
          <w:sz w:val="28"/>
          <w:szCs w:val="28"/>
          <w:lang w:eastAsia="ru-RU"/>
        </w:rPr>
        <w:t xml:space="preserve"> встановлення </w:t>
      </w:r>
      <w:r w:rsidR="003E1573" w:rsidRPr="001A384E">
        <w:rPr>
          <w:rFonts w:eastAsia="Times New Roman"/>
          <w:sz w:val="28"/>
          <w:szCs w:val="28"/>
          <w:lang w:eastAsia="ru-RU"/>
        </w:rPr>
        <w:t xml:space="preserve">нових </w:t>
      </w:r>
      <w:r w:rsidR="00802A60" w:rsidRPr="001A384E">
        <w:rPr>
          <w:rFonts w:eastAsia="Times New Roman"/>
          <w:sz w:val="28"/>
          <w:szCs w:val="28"/>
          <w:lang w:eastAsia="ru-RU"/>
        </w:rPr>
        <w:t>нормативів</w:t>
      </w:r>
      <w:r w:rsidR="00145D2D" w:rsidRPr="001A384E">
        <w:rPr>
          <w:rFonts w:eastAsia="Times New Roman"/>
          <w:sz w:val="28"/>
          <w:szCs w:val="28"/>
          <w:lang w:eastAsia="ru-RU"/>
        </w:rPr>
        <w:t xml:space="preserve"> капіталу</w:t>
      </w:r>
      <w:r w:rsidR="003E1573" w:rsidRPr="001A384E">
        <w:rPr>
          <w:rFonts w:eastAsia="Times New Roman"/>
          <w:sz w:val="28"/>
          <w:szCs w:val="28"/>
          <w:lang w:eastAsia="ru-RU"/>
        </w:rPr>
        <w:t>,</w:t>
      </w:r>
      <w:r w:rsidR="00145D2D" w:rsidRPr="001A384E">
        <w:rPr>
          <w:rFonts w:eastAsia="Times New Roman"/>
          <w:sz w:val="28"/>
          <w:szCs w:val="28"/>
          <w:lang w:eastAsia="ru-RU"/>
        </w:rPr>
        <w:t xml:space="preserve"> концентрації кредитного ризику та ліквідності</w:t>
      </w:r>
      <w:r w:rsidR="0064105B" w:rsidRPr="001A384E">
        <w:rPr>
          <w:rFonts w:eastAsia="Times New Roman"/>
          <w:sz w:val="28"/>
          <w:szCs w:val="28"/>
          <w:lang w:eastAsia="ru-RU"/>
        </w:rPr>
        <w:t xml:space="preserve">, </w:t>
      </w:r>
      <w:r w:rsidR="00BF616C">
        <w:rPr>
          <w:rFonts w:eastAsia="Times New Roman"/>
          <w:sz w:val="28"/>
          <w:szCs w:val="28"/>
          <w:lang w:eastAsia="ru-RU"/>
        </w:rPr>
        <w:t>спрямованих</w:t>
      </w:r>
      <w:r w:rsidR="00BF616C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="0064105B" w:rsidRPr="001A384E">
        <w:rPr>
          <w:rFonts w:eastAsia="Times New Roman"/>
          <w:sz w:val="28"/>
          <w:szCs w:val="28"/>
          <w:lang w:eastAsia="ru-RU"/>
        </w:rPr>
        <w:t>на по</w:t>
      </w:r>
      <w:r w:rsidR="00BF616C">
        <w:rPr>
          <w:rFonts w:eastAsia="Times New Roman"/>
          <w:sz w:val="28"/>
          <w:szCs w:val="28"/>
          <w:lang w:eastAsia="ru-RU"/>
        </w:rPr>
        <w:t>ліпшення</w:t>
      </w:r>
      <w:r w:rsidR="0064105B" w:rsidRPr="001A384E">
        <w:rPr>
          <w:rFonts w:eastAsia="Times New Roman"/>
          <w:sz w:val="28"/>
          <w:szCs w:val="28"/>
          <w:lang w:eastAsia="ru-RU"/>
        </w:rPr>
        <w:t xml:space="preserve"> фінансової стійкості кредитних спілок</w:t>
      </w:r>
      <w:r w:rsidR="00145D2D" w:rsidRPr="001A384E">
        <w:rPr>
          <w:rFonts w:eastAsia="Times New Roman"/>
          <w:sz w:val="28"/>
          <w:szCs w:val="28"/>
          <w:lang w:eastAsia="ru-RU"/>
        </w:rPr>
        <w:t>;</w:t>
      </w:r>
    </w:p>
    <w:p w14:paraId="2AE02F73" w14:textId="4F0C76A6" w:rsidR="00145D2D" w:rsidRPr="001A384E" w:rsidRDefault="002B0E88" w:rsidP="00145D2D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>4</w:t>
      </w:r>
      <w:r w:rsidR="00802A60" w:rsidRPr="001A384E">
        <w:rPr>
          <w:rFonts w:eastAsia="Times New Roman"/>
          <w:sz w:val="28"/>
          <w:szCs w:val="28"/>
          <w:lang w:eastAsia="ru-RU"/>
        </w:rPr>
        <w:t xml:space="preserve">) встановлення </w:t>
      </w:r>
      <w:r w:rsidR="00145D2D" w:rsidRPr="001A384E">
        <w:rPr>
          <w:rFonts w:eastAsia="Times New Roman"/>
          <w:sz w:val="28"/>
          <w:szCs w:val="28"/>
          <w:lang w:eastAsia="ru-RU"/>
        </w:rPr>
        <w:t>вимог до визначення величини кредитного ризику</w:t>
      </w:r>
      <w:r w:rsidR="003E1573" w:rsidRPr="001A384E">
        <w:rPr>
          <w:rFonts w:eastAsia="Times New Roman"/>
          <w:sz w:val="28"/>
          <w:szCs w:val="28"/>
          <w:lang w:eastAsia="ru-RU"/>
        </w:rPr>
        <w:t>.</w:t>
      </w:r>
    </w:p>
    <w:p w14:paraId="758912E2" w14:textId="766DD2A3" w:rsidR="003E1573" w:rsidRPr="001A384E" w:rsidRDefault="003E1573" w:rsidP="003E1573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t xml:space="preserve">Відповідно негативними наслідками буде встановлення динаміки змін </w:t>
      </w:r>
      <w:r w:rsidR="00BF616C">
        <w:rPr>
          <w:rFonts w:eastAsia="Times New Roman"/>
          <w:sz w:val="28"/>
          <w:szCs w:val="28"/>
          <w:lang w:eastAsia="ru-RU"/>
        </w:rPr>
        <w:t>зазначених</w:t>
      </w:r>
      <w:r w:rsidR="00BF616C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Pr="001A384E">
        <w:rPr>
          <w:rFonts w:eastAsia="Times New Roman"/>
          <w:sz w:val="28"/>
          <w:szCs w:val="28"/>
          <w:lang w:eastAsia="ru-RU"/>
        </w:rPr>
        <w:t>показників у протилежний бік або недотримання нормативних значень.</w:t>
      </w:r>
    </w:p>
    <w:p w14:paraId="26A66C94" w14:textId="2B7DA8E6" w:rsidR="003E1573" w:rsidRPr="001A384E" w:rsidRDefault="003E1573" w:rsidP="003E1573">
      <w:pPr>
        <w:pStyle w:val="a7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84E">
        <w:rPr>
          <w:rFonts w:eastAsia="Times New Roman"/>
          <w:sz w:val="28"/>
          <w:szCs w:val="28"/>
          <w:lang w:eastAsia="ru-RU"/>
        </w:rPr>
        <w:lastRenderedPageBreak/>
        <w:t xml:space="preserve">Прийняття регуляторного акта створить </w:t>
      </w:r>
      <w:r w:rsidR="00BF616C">
        <w:rPr>
          <w:rFonts w:eastAsia="Times New Roman"/>
          <w:sz w:val="28"/>
          <w:szCs w:val="28"/>
          <w:lang w:eastAsia="ru-RU"/>
        </w:rPr>
        <w:t xml:space="preserve">передумови для </w:t>
      </w:r>
      <w:r w:rsidR="00BF616C" w:rsidRPr="001A384E">
        <w:rPr>
          <w:rFonts w:eastAsia="Times New Roman"/>
          <w:sz w:val="28"/>
          <w:szCs w:val="28"/>
          <w:lang w:eastAsia="ru-RU"/>
        </w:rPr>
        <w:t xml:space="preserve"> </w:t>
      </w:r>
      <w:r w:rsidRPr="001A384E">
        <w:rPr>
          <w:rFonts w:eastAsia="Times New Roman"/>
          <w:sz w:val="28"/>
          <w:szCs w:val="28"/>
          <w:lang w:eastAsia="ru-RU"/>
        </w:rPr>
        <w:t>додаткового захисту прав членів кредитних спілок щодо виконання зобов’язань кредитними спілками.</w:t>
      </w:r>
    </w:p>
    <w:p w14:paraId="59A022A3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F5D9BE2" w14:textId="77777777" w:rsidR="003230BC" w:rsidRPr="00AD7825" w:rsidRDefault="003230B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VII.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Обґрунтування запропонованого строку дії акта </w:t>
      </w:r>
    </w:p>
    <w:p w14:paraId="753210AE" w14:textId="49FD5CBC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акта набиратимуть чинн</w:t>
      </w:r>
      <w:r w:rsidR="00BF6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BF6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01</w:t>
      </w:r>
      <w:r w:rsidR="00BF6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BF6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дня введення в дію Закону про </w:t>
      </w:r>
      <w:r w:rsidR="00CE7526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кредитні спілки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1CB6CC7D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Строк дії акта не обмежений у часі.</w:t>
      </w:r>
    </w:p>
    <w:p w14:paraId="2BCF92D4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540AA6D" w14:textId="77777777" w:rsidR="003230BC" w:rsidRPr="00AD7825" w:rsidRDefault="003230B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VІІI.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показників результативності акта</w:t>
      </w:r>
    </w:p>
    <w:p w14:paraId="2CD70884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Показниками результативності регуляторного акта є:</w:t>
      </w:r>
    </w:p>
    <w:p w14:paraId="506E7F87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</w:t>
      </w:r>
      <w:r w:rsidR="00D602AE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суб’єктів господарювання та/або фізичних осіб, на яких поширюватиметься дія акта.</w:t>
      </w:r>
    </w:p>
    <w:p w14:paraId="3A1F3423" w14:textId="627F1C1E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Регуляторний акт поширюватиметься на </w:t>
      </w:r>
      <w:r w:rsidR="00CE7526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кредитні спілки</w:t>
      </w:r>
      <w:r w:rsidR="00826424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загальна кількість яких станом на 01</w:t>
      </w:r>
      <w:r w:rsidR="00BF6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="00BF6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становить </w:t>
      </w:r>
      <w:r w:rsidR="00EB6BEF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</w:t>
      </w:r>
      <w:r w:rsidR="00BF6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A1FF13D" w14:textId="5C6303E0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o36"/>
      <w:bookmarkEnd w:id="1"/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="00D602AE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коштів і час, що витрачатимуться суб’єктами господарювання та/або фізичними особами, пов’язаними з виконанням вимог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акта.</w:t>
      </w:r>
    </w:p>
    <w:p w14:paraId="167698CA" w14:textId="7BA78005" w:rsidR="003230BC" w:rsidRPr="001A384E" w:rsidRDefault="00F70D88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зазначалося вище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разі</w:t>
      </w:r>
      <w:r w:rsidR="00BF6598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впров</w:t>
      </w:r>
      <w:r w:rsidR="00EB6BEF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адженн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EB6BEF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регуляторного акта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 додаткові витрати для забезпечення його виконання кредитними спілками, які </w:t>
      </w:r>
      <w:r w:rsidR="003E1573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мають ліцензію на здійснення діяльності кредитної спілки</w:t>
      </w:r>
      <w:r w:rsidR="003230BC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ED038E0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коштів та часу фізичних осіб, пов’язані з виконанням вимог акта, не передбачаються;</w:t>
      </w:r>
    </w:p>
    <w:p w14:paraId="7522CBC1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 w:rsidR="00D602AE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</w:t>
      </w:r>
      <w:r w:rsidR="003E1573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кредитних спілок, які порушують встановлені </w:t>
      </w:r>
      <w:r w:rsidR="00112039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регуляторним актом </w:t>
      </w:r>
      <w:r w:rsidR="003E1573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нормативні значення</w:t>
      </w:r>
      <w:r w:rsidR="008A1DCC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EF97E9" w14:textId="3E76C70C" w:rsidR="006B4E64" w:rsidRPr="001A384E" w:rsidRDefault="006B4E64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на 01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 </w:t>
      </w:r>
      <w:r w:rsidR="00700A20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 114 кредитних спілок, які прозвітували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F6598" w:rsidRP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6598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порушують встановлені нормативи</w:t>
      </w:r>
      <w:r w:rsidR="00700A20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CA39598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Висновок щодо цього показника можна буде зробити за результатами застосування норм регуляторного акта на практиці;</w:t>
      </w:r>
    </w:p>
    <w:p w14:paraId="3AAEBACA" w14:textId="5D78CF99" w:rsidR="00112039" w:rsidRPr="001A384E" w:rsidRDefault="00112039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 </w:t>
      </w:r>
      <w:r w:rsidR="006B4E64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середнє значення співвідношення регулятивного капіталу кредитної спілки 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F126C0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сумарної балансової вартості активів, зважених за ступенем кредитного ризику, і позабалансових зобов’язань кредитної спілки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126C0"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зменшених на величину непокритого кредитного ризику.</w:t>
      </w:r>
    </w:p>
    <w:p w14:paraId="5C40B7AA" w14:textId="77777777" w:rsidR="00F126C0" w:rsidRPr="001A384E" w:rsidRDefault="00F126C0" w:rsidP="00F12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Висновок щодо цього показника можна буде зробити за результатами застосування норм регуляторного акта на практиці;</w:t>
      </w:r>
    </w:p>
    <w:p w14:paraId="39D2DE42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9A55A39" w14:textId="77777777" w:rsidR="003230BC" w:rsidRPr="00AD7825" w:rsidRDefault="003230BC" w:rsidP="00F65F3B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ІХ.</w:t>
      </w:r>
      <w:r w:rsidR="00B37D5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 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заходів, з</w:t>
      </w:r>
      <w:r w:rsidR="008D008D"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а</w:t>
      </w:r>
      <w:r w:rsidRPr="00AD78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допомогою яких здійснюватиметься відстеження результативності акта </w:t>
      </w:r>
    </w:p>
    <w:p w14:paraId="07832B28" w14:textId="06558D18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 статей 3</w:t>
      </w:r>
      <w:r w:rsidR="00BF659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банку, затвердженої постановою Кабінету Міністрів України і Національного банку України від 14 квітня 2004 року №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471.</w:t>
      </w:r>
    </w:p>
    <w:p w14:paraId="4E1B46F7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2" w:name="_Hlk528784927"/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Відстеження результативності регуляторного акта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цього регуляторного акта.</w:t>
      </w:r>
    </w:p>
    <w:bookmarkEnd w:id="2"/>
    <w:p w14:paraId="077E5CBB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Базове відстеження результативності регуляторного акта здійснюватиметься протягом року з дня набрання чинності цим актом відповідно 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дані, але не пізніше дня, з якого починається проведення повторного відстеження результативності цього акта.</w:t>
      </w:r>
    </w:p>
    <w:p w14:paraId="15B83419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Повторне відстеження проводитиметься не пізніше двох років із дня набрання чинності регуляторним актом.</w:t>
      </w:r>
    </w:p>
    <w:p w14:paraId="56B36578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Періодичне відстеження результативності – один раз на кожні три роки </w:t>
      </w:r>
      <w:r w:rsidRPr="001A38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 дня закінчення заходів із повторного відстеження результативності цього регуляторного акта.</w:t>
      </w:r>
    </w:p>
    <w:p w14:paraId="3B4883E3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A38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 Інтернет-представництва Національного банку.</w:t>
      </w:r>
    </w:p>
    <w:p w14:paraId="67F86664" w14:textId="77777777" w:rsidR="003230BC" w:rsidRPr="001A384E" w:rsidRDefault="003230BC" w:rsidP="00F65F3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zh-CN"/>
        </w:rPr>
      </w:pPr>
    </w:p>
    <w:p w14:paraId="3F7CFCBE" w14:textId="77777777" w:rsidR="003230BC" w:rsidRPr="001A384E" w:rsidRDefault="003230BC" w:rsidP="00F65F3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zh-CN"/>
        </w:rPr>
      </w:pPr>
    </w:p>
    <w:p w14:paraId="38F8ECE0" w14:textId="77777777" w:rsidR="003230BC" w:rsidRPr="001A384E" w:rsidRDefault="003230BC" w:rsidP="00F65F3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</w:p>
    <w:tbl>
      <w:tblPr>
        <w:tblStyle w:val="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03"/>
      </w:tblGrid>
      <w:tr w:rsidR="003230BC" w:rsidRPr="001A384E" w14:paraId="1ECA7E34" w14:textId="77777777" w:rsidTr="005A5EF7">
        <w:tc>
          <w:tcPr>
            <w:tcW w:w="5495" w:type="dxa"/>
            <w:vAlign w:val="bottom"/>
          </w:tcPr>
          <w:p w14:paraId="73170AF2" w14:textId="1695AABA" w:rsidR="003230BC" w:rsidRPr="001A384E" w:rsidRDefault="003230BC" w:rsidP="00AD7825">
            <w:pPr>
              <w:tabs>
                <w:tab w:val="left" w:pos="7020"/>
                <w:tab w:val="left" w:pos="7200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3" w:name="o35"/>
            <w:bookmarkStart w:id="4" w:name="o37"/>
            <w:bookmarkStart w:id="5" w:name="o38"/>
            <w:bookmarkEnd w:id="3"/>
            <w:bookmarkEnd w:id="4"/>
            <w:bookmarkEnd w:id="5"/>
            <w:r w:rsidRPr="001A384E">
              <w:rPr>
                <w:rFonts w:ascii="Times New Roman" w:eastAsia="SimSun" w:hAnsi="Times New Roman" w:cs="Times New Roman"/>
                <w:sz w:val="28"/>
                <w:szCs w:val="28"/>
                <w:lang w:val="uk-UA" w:eastAsia="uk-UA"/>
              </w:rPr>
              <w:t>Голова Національного банку України</w:t>
            </w:r>
          </w:p>
        </w:tc>
        <w:tc>
          <w:tcPr>
            <w:tcW w:w="4003" w:type="dxa"/>
            <w:vAlign w:val="bottom"/>
          </w:tcPr>
          <w:p w14:paraId="560BD3D5" w14:textId="77777777" w:rsidR="003230BC" w:rsidRPr="001A384E" w:rsidRDefault="003230BC" w:rsidP="00F65F3B">
            <w:pPr>
              <w:tabs>
                <w:tab w:val="left" w:pos="7020"/>
                <w:tab w:val="left" w:pos="7200"/>
              </w:tabs>
              <w:autoSpaceDE w:val="0"/>
              <w:autoSpaceDN w:val="0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A384E">
              <w:rPr>
                <w:rFonts w:ascii="Times New Roman" w:eastAsia="SimSun" w:hAnsi="Times New Roman" w:cs="Times New Roman"/>
                <w:sz w:val="28"/>
                <w:szCs w:val="28"/>
                <w:lang w:val="uk-UA" w:eastAsia="uk-UA"/>
              </w:rPr>
              <w:t>Андрій ПИШНИЙ</w:t>
            </w:r>
          </w:p>
        </w:tc>
      </w:tr>
    </w:tbl>
    <w:p w14:paraId="595852FA" w14:textId="77777777" w:rsidR="003230BC" w:rsidRPr="001A384E" w:rsidRDefault="003230BC" w:rsidP="00F6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74229A" w14:textId="77777777" w:rsidR="005A5EF7" w:rsidRPr="001A384E" w:rsidRDefault="005A5EF7" w:rsidP="00F65F3B">
      <w:pPr>
        <w:ind w:firstLine="567"/>
        <w:rPr>
          <w:lang w:val="uk-UA"/>
        </w:rPr>
      </w:pPr>
    </w:p>
    <w:sectPr w:rsidR="005A5EF7" w:rsidRPr="001A384E" w:rsidSect="005A5EF7">
      <w:headerReference w:type="default" r:id="rId6"/>
      <w:pgSz w:w="11906" w:h="16838"/>
      <w:pgMar w:top="1135" w:right="567" w:bottom="170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B48D9" w14:textId="77777777" w:rsidR="001D751E" w:rsidRDefault="001D751E">
      <w:pPr>
        <w:spacing w:after="0" w:line="240" w:lineRule="auto"/>
      </w:pPr>
      <w:r>
        <w:separator/>
      </w:r>
    </w:p>
  </w:endnote>
  <w:endnote w:type="continuationSeparator" w:id="0">
    <w:p w14:paraId="4D5C72A5" w14:textId="77777777" w:rsidR="001D751E" w:rsidRDefault="001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5F8F" w14:textId="77777777" w:rsidR="001D751E" w:rsidRDefault="001D751E">
      <w:pPr>
        <w:spacing w:after="0" w:line="240" w:lineRule="auto"/>
      </w:pPr>
      <w:r>
        <w:separator/>
      </w:r>
    </w:p>
  </w:footnote>
  <w:footnote w:type="continuationSeparator" w:id="0">
    <w:p w14:paraId="4192F466" w14:textId="77777777" w:rsidR="001D751E" w:rsidRDefault="001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438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AA5861" w14:textId="76C98BE9" w:rsidR="00A37139" w:rsidRPr="002C4C57" w:rsidRDefault="00A3713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4C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4C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4C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327A" w:rsidRPr="000A327A">
          <w:rPr>
            <w:rFonts w:ascii="Times New Roman" w:hAnsi="Times New Roman" w:cs="Times New Roman"/>
            <w:noProof/>
            <w:sz w:val="28"/>
            <w:szCs w:val="28"/>
            <w:lang w:val="uk-UA"/>
          </w:rPr>
          <w:t>5</w:t>
        </w:r>
        <w:r w:rsidRPr="002C4C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F3343" w14:textId="2BF4CEB2" w:rsidR="005A5EF7" w:rsidRPr="00C024C0" w:rsidRDefault="005A5EF7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BC"/>
    <w:rsid w:val="000044BF"/>
    <w:rsid w:val="00021215"/>
    <w:rsid w:val="00071AD8"/>
    <w:rsid w:val="00075516"/>
    <w:rsid w:val="000A327A"/>
    <w:rsid w:val="000B33AE"/>
    <w:rsid w:val="000D3104"/>
    <w:rsid w:val="000F264F"/>
    <w:rsid w:val="000F4789"/>
    <w:rsid w:val="00103E2A"/>
    <w:rsid w:val="00112039"/>
    <w:rsid w:val="00132C1F"/>
    <w:rsid w:val="00145D2D"/>
    <w:rsid w:val="001A384E"/>
    <w:rsid w:val="001C7048"/>
    <w:rsid w:val="001D751E"/>
    <w:rsid w:val="001E6DC5"/>
    <w:rsid w:val="00251BE3"/>
    <w:rsid w:val="002968B7"/>
    <w:rsid w:val="002B0E88"/>
    <w:rsid w:val="002B78CD"/>
    <w:rsid w:val="002C4C57"/>
    <w:rsid w:val="002C6EFA"/>
    <w:rsid w:val="002F3922"/>
    <w:rsid w:val="00305290"/>
    <w:rsid w:val="0032099A"/>
    <w:rsid w:val="003230BC"/>
    <w:rsid w:val="003429ED"/>
    <w:rsid w:val="00347661"/>
    <w:rsid w:val="00375E18"/>
    <w:rsid w:val="00376AC7"/>
    <w:rsid w:val="003A3905"/>
    <w:rsid w:val="003C3014"/>
    <w:rsid w:val="003E1573"/>
    <w:rsid w:val="00473F4C"/>
    <w:rsid w:val="00494557"/>
    <w:rsid w:val="004C3D94"/>
    <w:rsid w:val="004D2613"/>
    <w:rsid w:val="004F3A5E"/>
    <w:rsid w:val="004F5775"/>
    <w:rsid w:val="00500863"/>
    <w:rsid w:val="00531161"/>
    <w:rsid w:val="00537FBA"/>
    <w:rsid w:val="005A5EF7"/>
    <w:rsid w:val="005C00BE"/>
    <w:rsid w:val="0064105B"/>
    <w:rsid w:val="00695381"/>
    <w:rsid w:val="006B4E64"/>
    <w:rsid w:val="006D5E41"/>
    <w:rsid w:val="00700A20"/>
    <w:rsid w:val="007064C5"/>
    <w:rsid w:val="007F7D80"/>
    <w:rsid w:val="00802A60"/>
    <w:rsid w:val="00826424"/>
    <w:rsid w:val="00830143"/>
    <w:rsid w:val="008556B0"/>
    <w:rsid w:val="00896297"/>
    <w:rsid w:val="00896E4D"/>
    <w:rsid w:val="008A1DCC"/>
    <w:rsid w:val="008B2E48"/>
    <w:rsid w:val="008D008D"/>
    <w:rsid w:val="008E1084"/>
    <w:rsid w:val="00970E05"/>
    <w:rsid w:val="009A1F38"/>
    <w:rsid w:val="009C51C9"/>
    <w:rsid w:val="00A26D10"/>
    <w:rsid w:val="00A37139"/>
    <w:rsid w:val="00A55230"/>
    <w:rsid w:val="00AC7FD1"/>
    <w:rsid w:val="00AD7825"/>
    <w:rsid w:val="00B37D5D"/>
    <w:rsid w:val="00B50E75"/>
    <w:rsid w:val="00B93DD5"/>
    <w:rsid w:val="00BD2A01"/>
    <w:rsid w:val="00BF616C"/>
    <w:rsid w:val="00BF6598"/>
    <w:rsid w:val="00C23B8E"/>
    <w:rsid w:val="00CC2E95"/>
    <w:rsid w:val="00CC559D"/>
    <w:rsid w:val="00CE61E2"/>
    <w:rsid w:val="00CE7526"/>
    <w:rsid w:val="00D602AE"/>
    <w:rsid w:val="00DA48CA"/>
    <w:rsid w:val="00DC2096"/>
    <w:rsid w:val="00E31B14"/>
    <w:rsid w:val="00E71DD8"/>
    <w:rsid w:val="00EA02BE"/>
    <w:rsid w:val="00EA65DB"/>
    <w:rsid w:val="00EB6BEF"/>
    <w:rsid w:val="00F03FC6"/>
    <w:rsid w:val="00F126C0"/>
    <w:rsid w:val="00F65F3B"/>
    <w:rsid w:val="00F70D88"/>
    <w:rsid w:val="00FB1CB0"/>
    <w:rsid w:val="00FE3D23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EE3D"/>
  <w15:chartTrackingRefBased/>
  <w15:docId w15:val="{3AD3E2B4-7897-40F4-9089-3C9FE390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B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23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0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3">
    <w:name w:val="header"/>
    <w:basedOn w:val="a"/>
    <w:link w:val="a4"/>
    <w:uiPriority w:val="99"/>
    <w:unhideWhenUsed/>
    <w:rsid w:val="003230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0BC"/>
    <w:rPr>
      <w:lang w:val="en-US"/>
    </w:rPr>
  </w:style>
  <w:style w:type="character" w:styleId="a5">
    <w:name w:val="page number"/>
    <w:basedOn w:val="a0"/>
    <w:rsid w:val="003230BC"/>
  </w:style>
  <w:style w:type="table" w:customStyle="1" w:styleId="2">
    <w:name w:val="Сетка таблицы2"/>
    <w:basedOn w:val="a1"/>
    <w:next w:val="a6"/>
    <w:uiPriority w:val="59"/>
    <w:rsid w:val="003230B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2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3230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32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71D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1D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1DD8"/>
    <w:rPr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1D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1DD8"/>
    <w:rPr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E7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1DD8"/>
    <w:rPr>
      <w:rFonts w:ascii="Segoe UI" w:hAnsi="Segoe UI" w:cs="Segoe UI"/>
      <w:sz w:val="18"/>
      <w:szCs w:val="18"/>
      <w:lang w:val="en-US"/>
    </w:rPr>
  </w:style>
  <w:style w:type="paragraph" w:styleId="af">
    <w:name w:val="footer"/>
    <w:basedOn w:val="a"/>
    <w:link w:val="af0"/>
    <w:uiPriority w:val="99"/>
    <w:unhideWhenUsed/>
    <w:rsid w:val="00A371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7139"/>
    <w:rPr>
      <w:lang w:val="en-US"/>
    </w:rPr>
  </w:style>
  <w:style w:type="paragraph" w:styleId="af1">
    <w:name w:val="Revision"/>
    <w:hidden/>
    <w:uiPriority w:val="99"/>
    <w:semiHidden/>
    <w:rsid w:val="00473F4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7018</Words>
  <Characters>4001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Медведєв Сергій Олегович</dc:creator>
  <cp:keywords/>
  <dc:description/>
  <cp:lastModifiedBy>Медведєв Сергій Олегович</cp:lastModifiedBy>
  <cp:revision>3</cp:revision>
  <dcterms:created xsi:type="dcterms:W3CDTF">2023-11-17T09:34:00Z</dcterms:created>
  <dcterms:modified xsi:type="dcterms:W3CDTF">2023-11-17T09:53:00Z</dcterms:modified>
</cp:coreProperties>
</file>