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613A4" w14:textId="4526E827" w:rsidR="00FF5C20" w:rsidRPr="00EC01CD" w:rsidRDefault="00EC01CD">
      <w:pPr>
        <w:jc w:val="right"/>
        <w:rPr>
          <w:sz w:val="24"/>
          <w:szCs w:val="24"/>
        </w:rPr>
      </w:pPr>
      <w:bookmarkStart w:id="0" w:name="_GoBack"/>
      <w:bookmarkEnd w:id="0"/>
      <w:r>
        <w:rPr>
          <w:sz w:val="24"/>
          <w:szCs w:val="24"/>
        </w:rPr>
        <w:t>ПРОЄКТ</w:t>
      </w:r>
    </w:p>
    <w:tbl>
      <w:tblPr>
        <w:tblStyle w:val="aff1"/>
        <w:tblW w:w="9638" w:type="dxa"/>
        <w:tblLook w:val="04A0" w:firstRow="1" w:lastRow="0" w:firstColumn="1" w:lastColumn="0" w:noHBand="0" w:noVBand="1"/>
      </w:tblPr>
      <w:tblGrid>
        <w:gridCol w:w="3208"/>
        <w:gridCol w:w="215"/>
        <w:gridCol w:w="2643"/>
        <w:gridCol w:w="366"/>
        <w:gridCol w:w="1312"/>
        <w:gridCol w:w="1894"/>
      </w:tblGrid>
      <w:tr w:rsidR="00FF5C20" w:rsidRPr="00125E99" w14:paraId="2115828E" w14:textId="77777777">
        <w:trPr>
          <w:trHeight w:val="851"/>
        </w:trPr>
        <w:tc>
          <w:tcPr>
            <w:tcW w:w="3207" w:type="dxa"/>
            <w:tcBorders>
              <w:top w:val="nil"/>
              <w:left w:val="nil"/>
              <w:bottom w:val="nil"/>
              <w:right w:val="nil"/>
            </w:tcBorders>
            <w:shd w:val="clear" w:color="auto" w:fill="auto"/>
          </w:tcPr>
          <w:p w14:paraId="3C3C5FCF" w14:textId="77777777" w:rsidR="00FF5C20" w:rsidRPr="00125E99" w:rsidRDefault="00FF5C20">
            <w:pPr>
              <w:ind w:firstLine="0"/>
              <w:rPr>
                <w:rFonts w:asciiTheme="minorHAnsi" w:hAnsiTheme="minorHAnsi" w:cstheme="minorBidi"/>
                <w:szCs w:val="22"/>
              </w:rPr>
            </w:pPr>
          </w:p>
        </w:tc>
        <w:tc>
          <w:tcPr>
            <w:tcW w:w="3224" w:type="dxa"/>
            <w:gridSpan w:val="3"/>
            <w:vMerge w:val="restart"/>
            <w:tcBorders>
              <w:top w:val="nil"/>
              <w:left w:val="nil"/>
              <w:bottom w:val="nil"/>
              <w:right w:val="nil"/>
            </w:tcBorders>
            <w:shd w:val="clear" w:color="auto" w:fill="auto"/>
          </w:tcPr>
          <w:p w14:paraId="73344AF5" w14:textId="77777777" w:rsidR="00FF5C20" w:rsidRPr="00125E99" w:rsidRDefault="0023702F">
            <w:pPr>
              <w:ind w:firstLine="0"/>
              <w:jc w:val="center"/>
              <w:rPr>
                <w:rFonts w:asciiTheme="minorHAnsi" w:hAnsiTheme="minorHAnsi" w:cstheme="minorBidi"/>
                <w:szCs w:val="22"/>
              </w:rPr>
            </w:pPr>
            <w:r w:rsidRPr="00125E99">
              <w:rPr>
                <w:rFonts w:ascii="Calibri" w:hAnsi="Calibri" w:cstheme="minorBidi"/>
                <w:szCs w:val="22"/>
              </w:rPr>
              <w:object w:dxaOrig="2125" w:dyaOrig="2934" w14:anchorId="45A02125">
                <v:shape id="ole_rId2" o:spid="_x0000_i1025" style="width:36.6pt;height:45.6pt" coordsize="" o:spt="100" adj="0,,0" path="" stroked="f">
                  <v:stroke joinstyle="miter"/>
                  <v:imagedata r:id="rId13" o:title=""/>
                  <v:formulas/>
                  <v:path o:connecttype="segments"/>
                </v:shape>
                <o:OLEObject Type="Embed" ProgID="CorelDraw.Graphic.16" ShapeID="ole_rId2" DrawAspect="Content" ObjectID="_1759739674" r:id="rId14"/>
              </w:object>
            </w:r>
          </w:p>
        </w:tc>
        <w:tc>
          <w:tcPr>
            <w:tcW w:w="3206" w:type="dxa"/>
            <w:gridSpan w:val="2"/>
            <w:tcBorders>
              <w:top w:val="nil"/>
              <w:left w:val="nil"/>
              <w:bottom w:val="nil"/>
              <w:right w:val="nil"/>
            </w:tcBorders>
            <w:shd w:val="clear" w:color="auto" w:fill="auto"/>
          </w:tcPr>
          <w:p w14:paraId="382C9323" w14:textId="77777777" w:rsidR="00FF5C20" w:rsidRPr="00125E99" w:rsidRDefault="00FF5C20">
            <w:pPr>
              <w:ind w:firstLine="0"/>
              <w:rPr>
                <w:rFonts w:asciiTheme="minorHAnsi" w:hAnsiTheme="minorHAnsi" w:cstheme="minorBidi"/>
                <w:szCs w:val="22"/>
              </w:rPr>
            </w:pPr>
          </w:p>
        </w:tc>
      </w:tr>
      <w:tr w:rsidR="00FF5C20" w:rsidRPr="00125E99" w14:paraId="5B153A63" w14:textId="77777777">
        <w:tc>
          <w:tcPr>
            <w:tcW w:w="3207" w:type="dxa"/>
            <w:tcBorders>
              <w:top w:val="nil"/>
              <w:left w:val="nil"/>
              <w:bottom w:val="nil"/>
              <w:right w:val="nil"/>
            </w:tcBorders>
            <w:shd w:val="clear" w:color="auto" w:fill="auto"/>
          </w:tcPr>
          <w:p w14:paraId="513E3716" w14:textId="77777777" w:rsidR="00FF5C20" w:rsidRPr="00125E99" w:rsidRDefault="00FF5C20">
            <w:pPr>
              <w:ind w:firstLine="0"/>
              <w:rPr>
                <w:rFonts w:asciiTheme="minorHAnsi" w:hAnsiTheme="minorHAnsi" w:cstheme="minorBidi"/>
                <w:szCs w:val="22"/>
              </w:rPr>
            </w:pPr>
          </w:p>
        </w:tc>
        <w:tc>
          <w:tcPr>
            <w:tcW w:w="3224" w:type="dxa"/>
            <w:gridSpan w:val="3"/>
            <w:vMerge/>
            <w:tcBorders>
              <w:top w:val="nil"/>
              <w:left w:val="nil"/>
              <w:bottom w:val="nil"/>
              <w:right w:val="nil"/>
            </w:tcBorders>
            <w:shd w:val="clear" w:color="auto" w:fill="auto"/>
          </w:tcPr>
          <w:p w14:paraId="5AD414FE" w14:textId="77777777" w:rsidR="00FF5C20" w:rsidRPr="00125E99" w:rsidRDefault="00FF5C20">
            <w:pPr>
              <w:ind w:firstLine="0"/>
              <w:rPr>
                <w:rFonts w:asciiTheme="minorHAnsi" w:hAnsiTheme="minorHAnsi" w:cstheme="minorBidi"/>
                <w:szCs w:val="22"/>
              </w:rPr>
            </w:pPr>
          </w:p>
        </w:tc>
        <w:tc>
          <w:tcPr>
            <w:tcW w:w="3206" w:type="dxa"/>
            <w:gridSpan w:val="2"/>
            <w:tcBorders>
              <w:top w:val="nil"/>
              <w:left w:val="nil"/>
              <w:bottom w:val="nil"/>
              <w:right w:val="nil"/>
            </w:tcBorders>
            <w:shd w:val="clear" w:color="auto" w:fill="auto"/>
          </w:tcPr>
          <w:p w14:paraId="1536317D" w14:textId="77777777" w:rsidR="00FF5C20" w:rsidRPr="00125E99" w:rsidRDefault="00FF5C20">
            <w:pPr>
              <w:ind w:firstLine="0"/>
              <w:rPr>
                <w:rFonts w:asciiTheme="minorHAnsi" w:hAnsiTheme="minorHAnsi" w:cstheme="minorBidi"/>
                <w:szCs w:val="22"/>
              </w:rPr>
            </w:pPr>
          </w:p>
        </w:tc>
      </w:tr>
      <w:tr w:rsidR="00FF5C20" w:rsidRPr="00125E99" w14:paraId="72837AFA" w14:textId="77777777">
        <w:tc>
          <w:tcPr>
            <w:tcW w:w="9637" w:type="dxa"/>
            <w:gridSpan w:val="6"/>
            <w:tcBorders>
              <w:top w:val="nil"/>
              <w:left w:val="nil"/>
              <w:bottom w:val="nil"/>
              <w:right w:val="nil"/>
            </w:tcBorders>
            <w:shd w:val="clear" w:color="auto" w:fill="auto"/>
          </w:tcPr>
          <w:p w14:paraId="586DC7B9" w14:textId="77777777" w:rsidR="00FF5C20" w:rsidRPr="00125E99" w:rsidRDefault="0023702F">
            <w:pPr>
              <w:tabs>
                <w:tab w:val="left" w:pos="-3600"/>
              </w:tabs>
              <w:spacing w:before="120" w:after="120"/>
              <w:ind w:firstLine="0"/>
              <w:jc w:val="center"/>
              <w:rPr>
                <w:b/>
                <w:bCs/>
                <w:color w:val="006600"/>
                <w:spacing w:val="10"/>
              </w:rPr>
            </w:pPr>
            <w:r w:rsidRPr="00125E99">
              <w:rPr>
                <w:b/>
                <w:bCs/>
                <w:color w:val="006600"/>
                <w:spacing w:val="10"/>
                <w:szCs w:val="22"/>
              </w:rPr>
              <w:t>Правління Національного банку України</w:t>
            </w:r>
          </w:p>
          <w:p w14:paraId="0693E34B" w14:textId="77777777" w:rsidR="00FF5C20" w:rsidRPr="00125E99" w:rsidRDefault="0023702F">
            <w:pPr>
              <w:ind w:firstLine="0"/>
              <w:jc w:val="center"/>
              <w:rPr>
                <w:szCs w:val="22"/>
              </w:rPr>
            </w:pPr>
            <w:r w:rsidRPr="00125E99">
              <w:rPr>
                <w:b/>
                <w:bCs/>
                <w:color w:val="006600"/>
                <w:sz w:val="32"/>
                <w:szCs w:val="32"/>
              </w:rPr>
              <w:t>П О С Т А Н О В А</w:t>
            </w:r>
          </w:p>
        </w:tc>
      </w:tr>
      <w:tr w:rsidR="00FF5C20" w:rsidRPr="00125E99" w14:paraId="0BE8122D" w14:textId="77777777">
        <w:tc>
          <w:tcPr>
            <w:tcW w:w="3422" w:type="dxa"/>
            <w:gridSpan w:val="2"/>
            <w:tcBorders>
              <w:top w:val="nil"/>
              <w:left w:val="nil"/>
              <w:bottom w:val="nil"/>
              <w:right w:val="nil"/>
            </w:tcBorders>
            <w:shd w:val="clear" w:color="auto" w:fill="auto"/>
            <w:vAlign w:val="bottom"/>
          </w:tcPr>
          <w:p w14:paraId="3911B4A5" w14:textId="77777777" w:rsidR="00FF5C20" w:rsidRPr="00125E99" w:rsidRDefault="00FF5C20">
            <w:pPr>
              <w:ind w:firstLine="0"/>
              <w:rPr>
                <w:szCs w:val="22"/>
              </w:rPr>
            </w:pPr>
          </w:p>
        </w:tc>
        <w:tc>
          <w:tcPr>
            <w:tcW w:w="2643" w:type="dxa"/>
            <w:tcBorders>
              <w:top w:val="nil"/>
              <w:left w:val="nil"/>
              <w:bottom w:val="nil"/>
              <w:right w:val="nil"/>
            </w:tcBorders>
            <w:shd w:val="clear" w:color="auto" w:fill="auto"/>
          </w:tcPr>
          <w:p w14:paraId="774BE01A" w14:textId="77777777" w:rsidR="00FF5C20" w:rsidRPr="00125E99" w:rsidRDefault="0023702F">
            <w:pPr>
              <w:spacing w:before="240"/>
              <w:ind w:firstLine="0"/>
              <w:jc w:val="center"/>
              <w:rPr>
                <w:szCs w:val="22"/>
              </w:rPr>
            </w:pPr>
            <w:r w:rsidRPr="00125E99">
              <w:rPr>
                <w:color w:val="006600"/>
                <w:szCs w:val="22"/>
              </w:rPr>
              <w:t>Київ</w:t>
            </w:r>
          </w:p>
        </w:tc>
        <w:tc>
          <w:tcPr>
            <w:tcW w:w="1678" w:type="dxa"/>
            <w:gridSpan w:val="2"/>
            <w:tcBorders>
              <w:top w:val="nil"/>
              <w:left w:val="nil"/>
              <w:bottom w:val="nil"/>
              <w:right w:val="nil"/>
            </w:tcBorders>
            <w:shd w:val="clear" w:color="auto" w:fill="auto"/>
            <w:vAlign w:val="bottom"/>
          </w:tcPr>
          <w:p w14:paraId="34E12E32" w14:textId="77777777" w:rsidR="00FF5C20" w:rsidRPr="00125E99" w:rsidRDefault="0023702F">
            <w:pPr>
              <w:ind w:firstLine="0"/>
              <w:jc w:val="right"/>
              <w:rPr>
                <w:szCs w:val="22"/>
              </w:rPr>
            </w:pPr>
            <w:r w:rsidRPr="00125E99">
              <w:rPr>
                <w:rFonts w:ascii="Calibri" w:hAnsi="Calibri" w:cstheme="minorBidi"/>
                <w:color w:val="FFFFFF" w:themeColor="background1"/>
                <w:szCs w:val="22"/>
              </w:rPr>
              <w:t>№</w:t>
            </w:r>
          </w:p>
        </w:tc>
        <w:tc>
          <w:tcPr>
            <w:tcW w:w="1894" w:type="dxa"/>
            <w:tcBorders>
              <w:top w:val="nil"/>
              <w:left w:val="nil"/>
              <w:bottom w:val="nil"/>
              <w:right w:val="nil"/>
            </w:tcBorders>
            <w:shd w:val="clear" w:color="auto" w:fill="auto"/>
            <w:vAlign w:val="bottom"/>
          </w:tcPr>
          <w:p w14:paraId="3DB60B9B" w14:textId="77777777" w:rsidR="00FF5C20" w:rsidRPr="00125E99" w:rsidRDefault="00FF5C20">
            <w:pPr>
              <w:ind w:firstLine="0"/>
              <w:jc w:val="left"/>
              <w:rPr>
                <w:rFonts w:asciiTheme="minorHAnsi" w:hAnsiTheme="minorHAnsi" w:cstheme="minorBidi"/>
                <w:szCs w:val="22"/>
              </w:rPr>
            </w:pPr>
          </w:p>
        </w:tc>
      </w:tr>
    </w:tbl>
    <w:p w14:paraId="610E0C28" w14:textId="77777777" w:rsidR="00FF5C20" w:rsidRPr="00125E99" w:rsidRDefault="00FF5C20">
      <w:pPr>
        <w:ind w:firstLine="0"/>
        <w:jc w:val="center"/>
        <w:rPr>
          <w:color w:val="000000"/>
          <w:lang w:eastAsia="en-US"/>
        </w:rPr>
      </w:pPr>
    </w:p>
    <w:tbl>
      <w:tblPr>
        <w:tblW w:w="4300" w:type="pct"/>
        <w:jc w:val="center"/>
        <w:tblLook w:val="04A0" w:firstRow="1" w:lastRow="0" w:firstColumn="1" w:lastColumn="0" w:noHBand="0" w:noVBand="1"/>
      </w:tblPr>
      <w:tblGrid>
        <w:gridCol w:w="8289"/>
      </w:tblGrid>
      <w:tr w:rsidR="00FF5C20" w:rsidRPr="00125E99" w14:paraId="461D38B5" w14:textId="77777777">
        <w:trPr>
          <w:trHeight w:val="1701"/>
          <w:jc w:val="center"/>
        </w:trPr>
        <w:tc>
          <w:tcPr>
            <w:tcW w:w="8288" w:type="dxa"/>
            <w:shd w:val="clear" w:color="auto" w:fill="auto"/>
          </w:tcPr>
          <w:p w14:paraId="7922EE7C" w14:textId="77777777" w:rsidR="002E0B3D" w:rsidRPr="00125E99" w:rsidRDefault="002E0B3D" w:rsidP="002E0B3D">
            <w:pPr>
              <w:jc w:val="center"/>
              <w:rPr>
                <w:rFonts w:eastAsia="Calibri"/>
                <w:color w:val="000000" w:themeColor="text1"/>
              </w:rPr>
            </w:pPr>
          </w:p>
          <w:p w14:paraId="7E6E8854" w14:textId="77777777" w:rsidR="00195FEF" w:rsidRPr="00125E99" w:rsidRDefault="00195FEF" w:rsidP="002E0B3D">
            <w:pPr>
              <w:jc w:val="center"/>
              <w:rPr>
                <w:rFonts w:eastAsia="Calibri"/>
                <w:color w:val="000000" w:themeColor="text1"/>
              </w:rPr>
            </w:pPr>
          </w:p>
          <w:p w14:paraId="72F54321" w14:textId="1070407C" w:rsidR="00FF5C20" w:rsidRPr="00125E99" w:rsidRDefault="0023702F" w:rsidP="00442B30">
            <w:pPr>
              <w:ind w:firstLine="0"/>
              <w:jc w:val="center"/>
              <w:rPr>
                <w:bCs/>
              </w:rPr>
            </w:pPr>
            <w:r w:rsidRPr="00125E99">
              <w:rPr>
                <w:rFonts w:eastAsia="Calibri"/>
                <w:color w:val="000000" w:themeColor="text1"/>
              </w:rPr>
              <w:t xml:space="preserve">Про затвердження </w:t>
            </w:r>
            <w:r w:rsidR="002E0B3D" w:rsidRPr="00125E99">
              <w:rPr>
                <w:bCs/>
              </w:rPr>
              <w:t xml:space="preserve">Положення </w:t>
            </w:r>
            <w:r w:rsidR="0098071E" w:rsidRPr="00125E99">
              <w:rPr>
                <w:bCs/>
              </w:rPr>
              <w:t xml:space="preserve">про </w:t>
            </w:r>
            <w:r w:rsidR="00442B30" w:rsidRPr="00125E99">
              <w:rPr>
                <w:bCs/>
              </w:rPr>
              <w:t xml:space="preserve">регулювання діяльності </w:t>
            </w:r>
            <w:r w:rsidR="00B16659" w:rsidRPr="00125E99">
              <w:rPr>
                <w:bCs/>
              </w:rPr>
              <w:t>фінансових компаній, які мають право здійснювати</w:t>
            </w:r>
            <w:r w:rsidR="0088782C" w:rsidRPr="00125E99">
              <w:rPr>
                <w:bCs/>
              </w:rPr>
              <w:t xml:space="preserve"> діяльність з надання гарантій</w:t>
            </w:r>
            <w:r w:rsidR="00761AB0" w:rsidRPr="00125E99">
              <w:rPr>
                <w:bCs/>
              </w:rPr>
              <w:t>,</w:t>
            </w:r>
            <w:r w:rsidR="00CE4AA9" w:rsidRPr="00125E99">
              <w:rPr>
                <w:bCs/>
              </w:rPr>
              <w:t xml:space="preserve"> та внесення змін до </w:t>
            </w:r>
            <w:r w:rsidR="00CE4AA9" w:rsidRPr="00125E99">
              <w:rPr>
                <w:color w:val="000000" w:themeColor="text1"/>
              </w:rPr>
              <w:t>постанови Правління Національного банку України від 25 червня 2020 року № 85</w:t>
            </w:r>
          </w:p>
        </w:tc>
      </w:tr>
    </w:tbl>
    <w:p w14:paraId="31C130A2" w14:textId="77777777" w:rsidR="00195FEF" w:rsidRPr="00125E99" w:rsidRDefault="00195FEF">
      <w:pPr>
        <w:spacing w:before="240"/>
        <w:rPr>
          <w:rFonts w:eastAsia="SimSun"/>
          <w:color w:val="000000" w:themeColor="text1"/>
        </w:rPr>
      </w:pPr>
    </w:p>
    <w:p w14:paraId="6A154AFF" w14:textId="7FF775E0" w:rsidR="00FF5C20" w:rsidRPr="00125E99" w:rsidRDefault="0023702F" w:rsidP="00A66019">
      <w:pPr>
        <w:spacing w:before="240"/>
        <w:ind w:firstLine="567"/>
        <w:rPr>
          <w:color w:val="000000" w:themeColor="text1"/>
        </w:rPr>
      </w:pPr>
      <w:r w:rsidRPr="00125E99">
        <w:rPr>
          <w:rFonts w:eastAsia="SimSun"/>
          <w:color w:val="000000" w:themeColor="text1"/>
        </w:rPr>
        <w:t>Відповідно до статей 7, 15, 55</w:t>
      </w:r>
      <w:r w:rsidRPr="00125E99">
        <w:rPr>
          <w:rFonts w:eastAsia="SimSun"/>
          <w:color w:val="000000" w:themeColor="text1"/>
          <w:vertAlign w:val="superscript"/>
        </w:rPr>
        <w:t>1</w:t>
      </w:r>
      <w:r w:rsidRPr="00125E99">
        <w:rPr>
          <w:rFonts w:eastAsia="SimSun"/>
          <w:color w:val="000000" w:themeColor="text1"/>
        </w:rPr>
        <w:t>, 56, 58 Закону України “Про Націо</w:t>
      </w:r>
      <w:r w:rsidR="002E0B3D" w:rsidRPr="00125E99">
        <w:rPr>
          <w:rFonts w:eastAsia="SimSun"/>
          <w:color w:val="000000" w:themeColor="text1"/>
        </w:rPr>
        <w:t>нальний банк України”, стат</w:t>
      </w:r>
      <w:r w:rsidR="00442B30" w:rsidRPr="00125E99">
        <w:rPr>
          <w:rFonts w:eastAsia="SimSun"/>
          <w:color w:val="000000" w:themeColor="text1"/>
        </w:rPr>
        <w:t>ті</w:t>
      </w:r>
      <w:r w:rsidR="002E0B3D" w:rsidRPr="00125E99">
        <w:rPr>
          <w:rFonts w:eastAsia="SimSun"/>
          <w:color w:val="000000" w:themeColor="text1"/>
        </w:rPr>
        <w:t xml:space="preserve"> 39</w:t>
      </w:r>
      <w:r w:rsidRPr="00125E99">
        <w:rPr>
          <w:rFonts w:eastAsia="SimSun"/>
          <w:color w:val="000000" w:themeColor="text1"/>
        </w:rPr>
        <w:t xml:space="preserve"> Закону України “Про фінансові послуги та </w:t>
      </w:r>
      <w:r w:rsidR="002E0B3D" w:rsidRPr="00125E99">
        <w:rPr>
          <w:rFonts w:eastAsia="SimSun"/>
          <w:color w:val="000000" w:themeColor="text1"/>
        </w:rPr>
        <w:t>фінансові компанії</w:t>
      </w:r>
      <w:r w:rsidRPr="00125E99">
        <w:rPr>
          <w:rFonts w:eastAsia="SimSun"/>
          <w:color w:val="000000" w:themeColor="text1"/>
        </w:rPr>
        <w:t xml:space="preserve">” з метою </w:t>
      </w:r>
      <w:r w:rsidR="00761AB0" w:rsidRPr="00125E99">
        <w:rPr>
          <w:bCs/>
        </w:rPr>
        <w:t>врегулювання діяльності фінансових компаній, які мають право здійснювати діяльність з надан</w:t>
      </w:r>
      <w:r w:rsidR="00AD7377" w:rsidRPr="00125E99">
        <w:rPr>
          <w:bCs/>
        </w:rPr>
        <w:t>ня гарантій на підставі ліцензій</w:t>
      </w:r>
      <w:r w:rsidR="00761AB0" w:rsidRPr="00125E99">
        <w:rPr>
          <w:bCs/>
        </w:rPr>
        <w:t xml:space="preserve"> на діяльність фінансової компанії</w:t>
      </w:r>
      <w:r w:rsidR="00164A36" w:rsidRPr="00125E99">
        <w:rPr>
          <w:rFonts w:eastAsia="Calibri"/>
          <w:color w:val="000000" w:themeColor="text1"/>
        </w:rPr>
        <w:t>,</w:t>
      </w:r>
      <w:r w:rsidR="00AE608D" w:rsidRPr="00125E99">
        <w:rPr>
          <w:bCs/>
        </w:rPr>
        <w:t xml:space="preserve"> </w:t>
      </w:r>
      <w:r w:rsidRPr="00125E99">
        <w:rPr>
          <w:color w:val="000000" w:themeColor="text1"/>
        </w:rPr>
        <w:t>Правління Національного банку України</w:t>
      </w:r>
      <w:r w:rsidRPr="00125E99">
        <w:rPr>
          <w:b/>
          <w:color w:val="000000" w:themeColor="text1"/>
        </w:rPr>
        <w:t xml:space="preserve"> постановляє:</w:t>
      </w:r>
    </w:p>
    <w:p w14:paraId="4DEB1145" w14:textId="77777777" w:rsidR="00FF5C20" w:rsidRPr="00125E99" w:rsidRDefault="00FF5C20">
      <w:pPr>
        <w:rPr>
          <w:b/>
          <w:color w:val="000000" w:themeColor="text1"/>
        </w:rPr>
      </w:pPr>
    </w:p>
    <w:p w14:paraId="4E026ED7" w14:textId="732B93CE" w:rsidR="00FF5C20" w:rsidRPr="00125E99" w:rsidRDefault="0023702F" w:rsidP="002B6A3D">
      <w:pPr>
        <w:ind w:firstLine="567"/>
        <w:rPr>
          <w:color w:val="000000" w:themeColor="text1"/>
          <w:lang w:eastAsia="en-US"/>
        </w:rPr>
      </w:pPr>
      <w:r w:rsidRPr="00125E99">
        <w:rPr>
          <w:color w:val="000000" w:themeColor="text1"/>
        </w:rPr>
        <w:t>1. </w:t>
      </w:r>
      <w:r w:rsidRPr="00125E99">
        <w:rPr>
          <w:color w:val="000000" w:themeColor="text1"/>
          <w:lang w:eastAsia="en-US"/>
        </w:rPr>
        <w:t xml:space="preserve">Затвердити </w:t>
      </w:r>
      <w:r w:rsidRPr="00125E99">
        <w:rPr>
          <w:rFonts w:eastAsia="Calibri"/>
          <w:color w:val="000000" w:themeColor="text1"/>
        </w:rPr>
        <w:t xml:space="preserve">Положення </w:t>
      </w:r>
      <w:r w:rsidR="00B16659" w:rsidRPr="00125E99">
        <w:rPr>
          <w:bCs/>
        </w:rPr>
        <w:t xml:space="preserve">про </w:t>
      </w:r>
      <w:r w:rsidR="00442B30" w:rsidRPr="00125E99">
        <w:rPr>
          <w:bCs/>
        </w:rPr>
        <w:t>регулювання діяльності</w:t>
      </w:r>
      <w:r w:rsidR="00B16659" w:rsidRPr="00125E99">
        <w:rPr>
          <w:bCs/>
        </w:rPr>
        <w:t xml:space="preserve"> фінансових компаній, які мають право здійснювати</w:t>
      </w:r>
      <w:r w:rsidR="0088782C" w:rsidRPr="00125E99">
        <w:rPr>
          <w:bCs/>
        </w:rPr>
        <w:t xml:space="preserve"> діяльність з надання гарантій </w:t>
      </w:r>
      <w:r w:rsidRPr="00125E99">
        <w:rPr>
          <w:rFonts w:eastAsia="Calibri"/>
          <w:color w:val="000000" w:themeColor="text1"/>
        </w:rPr>
        <w:t>(далі ‒ Положення), що додається</w:t>
      </w:r>
      <w:r w:rsidRPr="00125E99">
        <w:rPr>
          <w:color w:val="000000" w:themeColor="text1"/>
          <w:lang w:eastAsia="en-US"/>
        </w:rPr>
        <w:t>.</w:t>
      </w:r>
    </w:p>
    <w:p w14:paraId="5FF45BCD" w14:textId="7565D7BC" w:rsidR="00195FEF" w:rsidRPr="00125E99" w:rsidRDefault="00195FEF" w:rsidP="002B6A3D">
      <w:pPr>
        <w:ind w:firstLine="567"/>
        <w:rPr>
          <w:color w:val="000000" w:themeColor="text1"/>
          <w:lang w:eastAsia="en-US"/>
        </w:rPr>
      </w:pPr>
    </w:p>
    <w:p w14:paraId="190F815D" w14:textId="208F03A6" w:rsidR="00074975" w:rsidRPr="00125E99" w:rsidRDefault="00195FEF" w:rsidP="00A66019">
      <w:pPr>
        <w:tabs>
          <w:tab w:val="left" w:pos="426"/>
          <w:tab w:val="left" w:pos="851"/>
          <w:tab w:val="left" w:pos="1134"/>
        </w:tabs>
        <w:ind w:firstLine="567"/>
      </w:pPr>
      <w:r w:rsidRPr="00125E99">
        <w:rPr>
          <w:color w:val="000000" w:themeColor="text1"/>
          <w:lang w:eastAsia="en-US"/>
        </w:rPr>
        <w:t xml:space="preserve">2. </w:t>
      </w:r>
      <w:r w:rsidR="00745302" w:rsidRPr="00125E99">
        <w:t>Н</w:t>
      </w:r>
      <w:r w:rsidR="00573273" w:rsidRPr="00125E99">
        <w:t>ебанківські фінансові установи</w:t>
      </w:r>
      <w:r w:rsidR="00E91BDB" w:rsidRPr="00125E99">
        <w:t>, які відповідно до законодавства України мають право надавати гарантії</w:t>
      </w:r>
      <w:r w:rsidR="000B0FA4" w:rsidRPr="00125E99">
        <w:t xml:space="preserve"> на підставі ліцензій на провадження діяльності з надання фінансових послуг або ліцензій на </w:t>
      </w:r>
      <w:r w:rsidR="0074060B" w:rsidRPr="00125E99">
        <w:t>діяльність фінансової компанії</w:t>
      </w:r>
      <w:r w:rsidR="00BE3E3B" w:rsidRPr="00125E99">
        <w:t>,</w:t>
      </w:r>
      <w:r w:rsidR="00E91BDB" w:rsidRPr="00125E99">
        <w:t xml:space="preserve"> </w:t>
      </w:r>
      <w:proofErr w:type="spellStart"/>
      <w:r w:rsidR="00E91BDB" w:rsidRPr="00125E99">
        <w:t>зобовʼязані</w:t>
      </w:r>
      <w:proofErr w:type="spellEnd"/>
      <w:r w:rsidR="00CA62DB" w:rsidRPr="00125E99">
        <w:t xml:space="preserve"> ви</w:t>
      </w:r>
      <w:r w:rsidR="00C5641D" w:rsidRPr="00125E99">
        <w:t>ко</w:t>
      </w:r>
      <w:r w:rsidR="00CA62DB" w:rsidRPr="00125E99">
        <w:t>нувати вимоги Положення</w:t>
      </w:r>
      <w:r w:rsidR="00E71FFC" w:rsidRPr="00125E99">
        <w:t xml:space="preserve"> та дотримуватися</w:t>
      </w:r>
      <w:r w:rsidR="00CD650C" w:rsidRPr="00125E99">
        <w:t>:</w:t>
      </w:r>
    </w:p>
    <w:p w14:paraId="5E48E231" w14:textId="77777777" w:rsidR="006E6CC4" w:rsidRPr="00125E99" w:rsidRDefault="006E6CC4" w:rsidP="002B6A3D">
      <w:pPr>
        <w:tabs>
          <w:tab w:val="left" w:pos="426"/>
          <w:tab w:val="left" w:pos="1134"/>
        </w:tabs>
        <w:ind w:firstLine="567"/>
      </w:pPr>
    </w:p>
    <w:p w14:paraId="395DDD4A" w14:textId="70CFAD8C" w:rsidR="00E71FFC" w:rsidRPr="00125E99" w:rsidRDefault="00762CFF" w:rsidP="00A66019">
      <w:pPr>
        <w:pStyle w:val="afb"/>
        <w:numPr>
          <w:ilvl w:val="0"/>
          <w:numId w:val="9"/>
        </w:numPr>
        <w:tabs>
          <w:tab w:val="left" w:pos="709"/>
          <w:tab w:val="left" w:pos="993"/>
        </w:tabs>
        <w:ind w:left="0" w:firstLine="567"/>
      </w:pPr>
      <w:r w:rsidRPr="00125E99">
        <w:t xml:space="preserve">значення </w:t>
      </w:r>
      <w:r w:rsidR="00917DD3" w:rsidRPr="00125E99">
        <w:t xml:space="preserve">нормативу достатності (адекватності) капіталу </w:t>
      </w:r>
      <w:r w:rsidR="00761AB0" w:rsidRPr="00125E99">
        <w:t xml:space="preserve"> </w:t>
      </w:r>
      <w:r w:rsidR="00E91BDB" w:rsidRPr="00125E99">
        <w:t xml:space="preserve">з </w:t>
      </w:r>
      <w:r w:rsidR="0009406B" w:rsidRPr="00125E99">
        <w:t>01 січня 2024 року</w:t>
      </w:r>
      <w:r w:rsidR="00E91BDB" w:rsidRPr="00125E99">
        <w:t xml:space="preserve"> до 31 березня 2024 року </w:t>
      </w:r>
      <w:r w:rsidR="00917DD3" w:rsidRPr="00125E99">
        <w:t xml:space="preserve">– </w:t>
      </w:r>
      <w:r w:rsidR="00257075" w:rsidRPr="00125E99">
        <w:t>в розмірі</w:t>
      </w:r>
      <w:r w:rsidR="00E91BDB" w:rsidRPr="00125E99">
        <w:t xml:space="preserve"> не менше ніж 7 відсотків;</w:t>
      </w:r>
      <w:r w:rsidR="004758C0" w:rsidRPr="00125E99">
        <w:t xml:space="preserve"> </w:t>
      </w:r>
    </w:p>
    <w:p w14:paraId="334CC1A5" w14:textId="77777777" w:rsidR="00E91BDB" w:rsidRPr="00125E99" w:rsidRDefault="00E91BDB" w:rsidP="002B6A3D">
      <w:pPr>
        <w:pStyle w:val="afb"/>
        <w:tabs>
          <w:tab w:val="left" w:pos="426"/>
        </w:tabs>
        <w:ind w:left="0" w:firstLine="567"/>
      </w:pPr>
    </w:p>
    <w:p w14:paraId="31C837D7" w14:textId="5246DC5E" w:rsidR="00E94187" w:rsidRPr="00125E99" w:rsidRDefault="006E6CC4" w:rsidP="002B6A3D">
      <w:pPr>
        <w:pStyle w:val="afb"/>
        <w:tabs>
          <w:tab w:val="left" w:pos="1134"/>
        </w:tabs>
        <w:ind w:left="0" w:firstLine="567"/>
      </w:pPr>
      <w:r w:rsidRPr="00125E99">
        <w:t>2)</w:t>
      </w:r>
      <w:r w:rsidR="00C45524" w:rsidRPr="00125E99">
        <w:t xml:space="preserve"> </w:t>
      </w:r>
      <w:proofErr w:type="spellStart"/>
      <w:r w:rsidR="00C45524" w:rsidRPr="00125E99">
        <w:t>пруденційної</w:t>
      </w:r>
      <w:proofErr w:type="spellEnd"/>
      <w:r w:rsidR="00C45524" w:rsidRPr="00125E99">
        <w:t xml:space="preserve"> вимоги</w:t>
      </w:r>
      <w:r w:rsidR="00FD630B" w:rsidRPr="00125E99">
        <w:t>, з</w:t>
      </w:r>
      <w:r w:rsidR="00C45524" w:rsidRPr="00125E99">
        <w:t>азначеної</w:t>
      </w:r>
      <w:r w:rsidR="00FD630B" w:rsidRPr="00125E99">
        <w:t xml:space="preserve"> в підпункті </w:t>
      </w:r>
      <w:r w:rsidR="00400238">
        <w:t>1</w:t>
      </w:r>
      <w:r w:rsidR="00FD630B" w:rsidRPr="00125E99">
        <w:t xml:space="preserve"> пункту </w:t>
      </w:r>
      <w:r w:rsidR="00152720" w:rsidRPr="00125E99">
        <w:t>8</w:t>
      </w:r>
      <w:r w:rsidR="00FD630B" w:rsidRPr="00125E99">
        <w:t xml:space="preserve"> розділу І Положення, </w:t>
      </w:r>
      <w:r w:rsidR="00917DD3" w:rsidRPr="00125E99">
        <w:t>починаючи з 01 квітня 2024 року</w:t>
      </w:r>
      <w:r w:rsidR="001A35BF" w:rsidRPr="00125E99">
        <w:t>.</w:t>
      </w:r>
    </w:p>
    <w:p w14:paraId="5787A2DE" w14:textId="77777777" w:rsidR="00AD48DD" w:rsidRPr="00125E99" w:rsidRDefault="00AD48DD" w:rsidP="002B6A3D">
      <w:pPr>
        <w:tabs>
          <w:tab w:val="left" w:pos="993"/>
        </w:tabs>
        <w:ind w:firstLine="567"/>
      </w:pPr>
    </w:p>
    <w:p w14:paraId="53443ADA" w14:textId="6A41BDE1" w:rsidR="00BC1406" w:rsidRPr="00125E99" w:rsidRDefault="00745302" w:rsidP="002B6A3D">
      <w:pPr>
        <w:tabs>
          <w:tab w:val="left" w:pos="993"/>
        </w:tabs>
        <w:ind w:firstLine="567"/>
      </w:pPr>
      <w:r w:rsidRPr="00125E99">
        <w:t>3</w:t>
      </w:r>
      <w:r w:rsidR="00BC1406" w:rsidRPr="00125E99">
        <w:t xml:space="preserve">. </w:t>
      </w:r>
      <w:r w:rsidR="00AD48DD" w:rsidRPr="00125E99">
        <w:t>Вимоги пункту 2 цієї постанови не поширюються на</w:t>
      </w:r>
      <w:r w:rsidR="00BC1406" w:rsidRPr="00125E99">
        <w:t>:</w:t>
      </w:r>
    </w:p>
    <w:p w14:paraId="5C3316E2" w14:textId="77777777" w:rsidR="00E26990" w:rsidRPr="00125E99" w:rsidRDefault="00E26990" w:rsidP="002B6A3D">
      <w:pPr>
        <w:tabs>
          <w:tab w:val="left" w:pos="993"/>
        </w:tabs>
        <w:ind w:firstLine="567"/>
      </w:pPr>
    </w:p>
    <w:p w14:paraId="27FBC49C" w14:textId="4871FB3C" w:rsidR="00BC1406" w:rsidRPr="00125E99" w:rsidRDefault="00442B30" w:rsidP="002B6A3D">
      <w:pPr>
        <w:pStyle w:val="afb"/>
        <w:numPr>
          <w:ilvl w:val="0"/>
          <w:numId w:val="30"/>
        </w:numPr>
        <w:tabs>
          <w:tab w:val="left" w:pos="781"/>
          <w:tab w:val="left" w:pos="993"/>
          <w:tab w:val="left" w:pos="1134"/>
        </w:tabs>
        <w:ind w:left="0" w:firstLine="567"/>
        <w:rPr>
          <w:bCs/>
        </w:rPr>
      </w:pPr>
      <w:r w:rsidRPr="00125E99">
        <w:rPr>
          <w:bCs/>
        </w:rPr>
        <w:t>Фонд часткового гарантування кредитів у сільському господарстві</w:t>
      </w:r>
      <w:r w:rsidR="00BC1406" w:rsidRPr="00125E99">
        <w:rPr>
          <w:bCs/>
        </w:rPr>
        <w:t>;</w:t>
      </w:r>
    </w:p>
    <w:p w14:paraId="3A206AF2" w14:textId="77777777" w:rsidR="00E26990" w:rsidRPr="00125E99" w:rsidRDefault="00E26990" w:rsidP="00B54BDC">
      <w:pPr>
        <w:pStyle w:val="afb"/>
        <w:tabs>
          <w:tab w:val="left" w:pos="781"/>
        </w:tabs>
        <w:ind w:left="0" w:firstLine="781"/>
        <w:rPr>
          <w:bCs/>
        </w:rPr>
      </w:pPr>
    </w:p>
    <w:p w14:paraId="5F123943" w14:textId="771E61D6" w:rsidR="00195FEF" w:rsidRPr="00125E99" w:rsidRDefault="00BC1406" w:rsidP="002B6A3D">
      <w:pPr>
        <w:tabs>
          <w:tab w:val="left" w:pos="781"/>
        </w:tabs>
        <w:ind w:firstLine="567"/>
      </w:pPr>
      <w:r w:rsidRPr="00125E99">
        <w:t>2)</w:t>
      </w:r>
      <w:r w:rsidR="00E26990" w:rsidRPr="00125E99">
        <w:t xml:space="preserve"> </w:t>
      </w:r>
      <w:r w:rsidR="00AD48DD" w:rsidRPr="00125E99">
        <w:t>незалежних фінансових посередників, які набули статусу фінансових установ та отримали ліцензії на діяльність фінансових компаній (далі – незалежні фінансові посередники).</w:t>
      </w:r>
    </w:p>
    <w:p w14:paraId="7A488735" w14:textId="77777777" w:rsidR="00AD48DD" w:rsidRPr="00125E99" w:rsidRDefault="00AD48DD" w:rsidP="002B6A3D">
      <w:pPr>
        <w:tabs>
          <w:tab w:val="left" w:pos="993"/>
        </w:tabs>
        <w:ind w:firstLine="567"/>
        <w:rPr>
          <w:color w:val="000000" w:themeColor="text1"/>
          <w:lang w:eastAsia="en-US"/>
        </w:rPr>
      </w:pPr>
    </w:p>
    <w:p w14:paraId="615D7612" w14:textId="73D956CF" w:rsidR="008F6DA0" w:rsidRPr="00125E99" w:rsidRDefault="001C1D9F" w:rsidP="002B6A3D">
      <w:pPr>
        <w:ind w:firstLine="567"/>
        <w:rPr>
          <w:lang w:eastAsia="en-US"/>
        </w:rPr>
      </w:pPr>
      <w:r w:rsidRPr="00125E99">
        <w:rPr>
          <w:lang w:eastAsia="en-US"/>
        </w:rPr>
        <w:t>4</w:t>
      </w:r>
      <w:r w:rsidR="00E91BDB" w:rsidRPr="00125E99">
        <w:rPr>
          <w:lang w:eastAsia="en-US"/>
        </w:rPr>
        <w:t>.</w:t>
      </w:r>
      <w:r w:rsidR="008C6DD2" w:rsidRPr="00125E99">
        <w:rPr>
          <w:lang w:eastAsia="en-US"/>
        </w:rPr>
        <w:t> </w:t>
      </w:r>
      <w:r w:rsidR="00FD7039" w:rsidRPr="00125E99">
        <w:rPr>
          <w:lang w:eastAsia="en-US"/>
        </w:rPr>
        <w:t xml:space="preserve">Незалежним фінансовим посередникам </w:t>
      </w:r>
      <w:r w:rsidR="008F6DA0" w:rsidRPr="00125E99">
        <w:t>протягом місяця з дати отримання ліцензій на діяльність фінансових компаній</w:t>
      </w:r>
      <w:r w:rsidR="008F6DA0" w:rsidRPr="00125E99">
        <w:rPr>
          <w:lang w:eastAsia="en-US"/>
        </w:rPr>
        <w:t xml:space="preserve"> </w:t>
      </w:r>
      <w:r w:rsidR="00C23926" w:rsidRPr="00125E99">
        <w:rPr>
          <w:lang w:eastAsia="en-US"/>
        </w:rPr>
        <w:t>привести свою діяльність у відповідність до вимог</w:t>
      </w:r>
      <w:r w:rsidR="00D21C0F" w:rsidRPr="00125E99">
        <w:rPr>
          <w:lang w:eastAsia="en-US"/>
        </w:rPr>
        <w:t xml:space="preserve"> </w:t>
      </w:r>
      <w:r w:rsidR="00E91BDB" w:rsidRPr="00125E99">
        <w:t>Положення та забезпечити</w:t>
      </w:r>
      <w:r w:rsidR="008F6DA0" w:rsidRPr="00125E99">
        <w:t xml:space="preserve"> розрахунок та </w:t>
      </w:r>
      <w:r w:rsidR="006E6CC4" w:rsidRPr="00125E99">
        <w:t xml:space="preserve">виконання </w:t>
      </w:r>
      <w:proofErr w:type="spellStart"/>
      <w:r w:rsidR="006E6CC4" w:rsidRPr="00125E99">
        <w:t>пруденційних</w:t>
      </w:r>
      <w:proofErr w:type="spellEnd"/>
      <w:r w:rsidR="006E6CC4" w:rsidRPr="00125E99">
        <w:t xml:space="preserve"> </w:t>
      </w:r>
      <w:r w:rsidR="00FD630B" w:rsidRPr="00125E99">
        <w:t>вимог</w:t>
      </w:r>
      <w:r w:rsidR="006C1367" w:rsidRPr="00125E99">
        <w:t xml:space="preserve">, </w:t>
      </w:r>
      <w:r w:rsidR="00A34B96" w:rsidRPr="00125E99">
        <w:t xml:space="preserve">визначених в </w:t>
      </w:r>
      <w:r w:rsidR="008F6DA0" w:rsidRPr="00125E99">
        <w:t>Положенн</w:t>
      </w:r>
      <w:r w:rsidR="00A34B96" w:rsidRPr="00125E99">
        <w:t>і</w:t>
      </w:r>
      <w:r w:rsidR="008F6DA0" w:rsidRPr="00125E99">
        <w:t>.</w:t>
      </w:r>
    </w:p>
    <w:p w14:paraId="57D546E7" w14:textId="77777777" w:rsidR="008F6DA0" w:rsidRPr="00125E99" w:rsidRDefault="008F6DA0" w:rsidP="002B6A3D">
      <w:pPr>
        <w:ind w:firstLine="567"/>
        <w:rPr>
          <w:color w:val="000000" w:themeColor="text1"/>
          <w:lang w:eastAsia="en-US"/>
        </w:rPr>
      </w:pPr>
    </w:p>
    <w:p w14:paraId="6C948367" w14:textId="73E43324" w:rsidR="00A84959" w:rsidRPr="00125E99" w:rsidRDefault="001C1D9F" w:rsidP="002B6A3D">
      <w:pPr>
        <w:ind w:firstLine="567"/>
        <w:rPr>
          <w:color w:val="000000" w:themeColor="text1"/>
        </w:rPr>
      </w:pPr>
      <w:r w:rsidRPr="00125E99">
        <w:rPr>
          <w:color w:val="000000" w:themeColor="text1"/>
          <w:lang w:eastAsia="en-US"/>
        </w:rPr>
        <w:t>5</w:t>
      </w:r>
      <w:r w:rsidR="0023702F" w:rsidRPr="00125E99">
        <w:rPr>
          <w:color w:val="000000" w:themeColor="text1"/>
          <w:lang w:eastAsia="en-US"/>
        </w:rPr>
        <w:t>. </w:t>
      </w:r>
      <w:r w:rsidR="00A84959" w:rsidRPr="00125E99">
        <w:rPr>
          <w:color w:val="000000" w:themeColor="text1"/>
        </w:rPr>
        <w:t xml:space="preserve">Пункт 35 додатку до постанови Правління Національного банку України від 25 червня 2020 року № 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 (зі змінами) виключити. </w:t>
      </w:r>
    </w:p>
    <w:p w14:paraId="787A55A3" w14:textId="77777777" w:rsidR="00FF5C20" w:rsidRPr="00125E99" w:rsidRDefault="00FF5C20" w:rsidP="002B6A3D">
      <w:pPr>
        <w:ind w:firstLine="567"/>
        <w:rPr>
          <w:color w:val="000000" w:themeColor="text1"/>
        </w:rPr>
      </w:pPr>
    </w:p>
    <w:p w14:paraId="3C715183" w14:textId="148AD44E" w:rsidR="00FF5C20" w:rsidRPr="00125E99" w:rsidRDefault="001C1D9F" w:rsidP="002B6A3D">
      <w:pPr>
        <w:ind w:firstLine="567"/>
        <w:rPr>
          <w:color w:val="000000" w:themeColor="text1"/>
        </w:rPr>
      </w:pPr>
      <w:r w:rsidRPr="00125E99">
        <w:rPr>
          <w:color w:val="000000" w:themeColor="text1"/>
          <w:lang w:eastAsia="en-US"/>
        </w:rPr>
        <w:t>6</w:t>
      </w:r>
      <w:r w:rsidR="0023702F" w:rsidRPr="00125E99">
        <w:rPr>
          <w:color w:val="000000" w:themeColor="text1"/>
          <w:lang w:eastAsia="en-US"/>
        </w:rPr>
        <w:t xml:space="preserve">. Постанова набирає чинності </w:t>
      </w:r>
      <w:r w:rsidR="0023702F" w:rsidRPr="00125E99">
        <w:rPr>
          <w:color w:val="000000" w:themeColor="text1"/>
          <w:sz w:val="29"/>
          <w:szCs w:val="29"/>
        </w:rPr>
        <w:t>з</w:t>
      </w:r>
      <w:r w:rsidR="00897566" w:rsidRPr="00125E99">
        <w:rPr>
          <w:color w:val="000000" w:themeColor="text1"/>
          <w:lang w:eastAsia="en-US"/>
        </w:rPr>
        <w:t xml:space="preserve"> 01 січня 2024</w:t>
      </w:r>
      <w:r w:rsidR="0023702F" w:rsidRPr="00125E99">
        <w:rPr>
          <w:color w:val="000000" w:themeColor="text1"/>
          <w:lang w:eastAsia="en-US"/>
        </w:rPr>
        <w:t xml:space="preserve"> року</w:t>
      </w:r>
      <w:r w:rsidR="0023702F" w:rsidRPr="00125E99">
        <w:rPr>
          <w:color w:val="000000" w:themeColor="text1"/>
        </w:rPr>
        <w:t>.</w:t>
      </w:r>
    </w:p>
    <w:p w14:paraId="6250DC4A" w14:textId="77777777" w:rsidR="00FF5C20" w:rsidRPr="00125E99" w:rsidRDefault="00FF5C20">
      <w:pPr>
        <w:rPr>
          <w:color w:val="000000" w:themeColor="text1"/>
        </w:rPr>
      </w:pPr>
    </w:p>
    <w:p w14:paraId="531FEA95" w14:textId="77777777" w:rsidR="00FF5C20" w:rsidRPr="00125E99" w:rsidRDefault="00FF5C20">
      <w:pPr>
        <w:rPr>
          <w:color w:val="000000" w:themeColor="text1"/>
        </w:rPr>
      </w:pPr>
    </w:p>
    <w:p w14:paraId="0A773EF5" w14:textId="77777777" w:rsidR="00FF5C20" w:rsidRPr="00125E99" w:rsidRDefault="00FF5C20">
      <w:pPr>
        <w:rPr>
          <w:color w:val="000000" w:themeColor="text1"/>
        </w:rPr>
      </w:pPr>
    </w:p>
    <w:tbl>
      <w:tblPr>
        <w:tblW w:w="9747" w:type="dxa"/>
        <w:tblLook w:val="04A0" w:firstRow="1" w:lastRow="0" w:firstColumn="1" w:lastColumn="0" w:noHBand="0" w:noVBand="1"/>
      </w:tblPr>
      <w:tblGrid>
        <w:gridCol w:w="5495"/>
        <w:gridCol w:w="4252"/>
      </w:tblGrid>
      <w:tr w:rsidR="00FF5C20" w:rsidRPr="00125E99" w14:paraId="650193FF" w14:textId="77777777">
        <w:trPr>
          <w:trHeight w:val="222"/>
        </w:trPr>
        <w:tc>
          <w:tcPr>
            <w:tcW w:w="5494" w:type="dxa"/>
            <w:shd w:val="clear" w:color="auto" w:fill="auto"/>
            <w:vAlign w:val="bottom"/>
          </w:tcPr>
          <w:p w14:paraId="1BB6F4E7" w14:textId="77777777" w:rsidR="00FF5C20" w:rsidRPr="00125E99" w:rsidRDefault="0023702F" w:rsidP="002B6A3D">
            <w:pPr>
              <w:ind w:firstLine="597"/>
              <w:jc w:val="left"/>
              <w:rPr>
                <w:color w:val="000000" w:themeColor="text1"/>
              </w:rPr>
            </w:pPr>
            <w:r w:rsidRPr="00125E99">
              <w:rPr>
                <w:rFonts w:eastAsia="SimSun"/>
                <w:color w:val="000000" w:themeColor="text1"/>
              </w:rPr>
              <w:t>Голова</w:t>
            </w:r>
          </w:p>
        </w:tc>
        <w:tc>
          <w:tcPr>
            <w:tcW w:w="4252" w:type="dxa"/>
            <w:shd w:val="clear" w:color="auto" w:fill="auto"/>
            <w:vAlign w:val="bottom"/>
          </w:tcPr>
          <w:p w14:paraId="54DE08B9" w14:textId="28F4D3A2" w:rsidR="00FF5C20" w:rsidRPr="00125E99" w:rsidRDefault="002F4FA0">
            <w:pPr>
              <w:tabs>
                <w:tab w:val="left" w:pos="7020"/>
                <w:tab w:val="left" w:pos="7200"/>
              </w:tabs>
              <w:ind w:left="32"/>
              <w:jc w:val="right"/>
              <w:rPr>
                <w:strike/>
                <w:color w:val="000000" w:themeColor="text1"/>
              </w:rPr>
            </w:pPr>
            <w:r w:rsidRPr="00125E99">
              <w:rPr>
                <w:rFonts w:eastAsia="SimSun"/>
                <w:color w:val="000000" w:themeColor="text1"/>
              </w:rPr>
              <w:t>Андрій ПИШНИЙ</w:t>
            </w:r>
          </w:p>
        </w:tc>
      </w:tr>
    </w:tbl>
    <w:p w14:paraId="089781F8" w14:textId="77777777" w:rsidR="00FF5C20" w:rsidRPr="00125E99" w:rsidRDefault="00FF5C20">
      <w:pPr>
        <w:rPr>
          <w:color w:val="000000" w:themeColor="text1"/>
        </w:rPr>
      </w:pPr>
    </w:p>
    <w:p w14:paraId="3761C2E3" w14:textId="77777777" w:rsidR="00FF5C20" w:rsidRPr="00125E99" w:rsidRDefault="00FF5C20">
      <w:pPr>
        <w:rPr>
          <w:color w:val="000000" w:themeColor="text1"/>
        </w:rPr>
      </w:pPr>
    </w:p>
    <w:p w14:paraId="3C7E565B" w14:textId="77777777" w:rsidR="00FF5C20" w:rsidRPr="00125E99" w:rsidRDefault="00FF5C20">
      <w:pPr>
        <w:rPr>
          <w:color w:val="000000" w:themeColor="text1"/>
        </w:rPr>
      </w:pPr>
    </w:p>
    <w:p w14:paraId="55C3BD5F" w14:textId="77777777" w:rsidR="00FF5C20" w:rsidRPr="00125E99" w:rsidRDefault="0023702F">
      <w:pPr>
        <w:jc w:val="left"/>
        <w:rPr>
          <w:color w:val="000000" w:themeColor="text1"/>
        </w:rPr>
      </w:pPr>
      <w:r w:rsidRPr="00125E99">
        <w:rPr>
          <w:color w:val="000000" w:themeColor="text1"/>
        </w:rPr>
        <w:t>Інд.</w:t>
      </w:r>
      <w:r w:rsidRPr="00125E99">
        <w:rPr>
          <w:color w:val="000000" w:themeColor="text1"/>
          <w:sz w:val="22"/>
          <w:szCs w:val="22"/>
        </w:rPr>
        <w:t xml:space="preserve"> </w:t>
      </w:r>
      <w:r w:rsidRPr="00125E99">
        <w:rPr>
          <w:color w:val="000000" w:themeColor="text1"/>
        </w:rPr>
        <w:t>33</w:t>
      </w:r>
    </w:p>
    <w:p w14:paraId="5144B6F5" w14:textId="77777777" w:rsidR="00FF5C20" w:rsidRPr="00125E99" w:rsidRDefault="00FF5C20">
      <w:pPr>
        <w:jc w:val="left"/>
        <w:rPr>
          <w:color w:val="000000" w:themeColor="text1"/>
        </w:rPr>
      </w:pPr>
    </w:p>
    <w:p w14:paraId="542BBFDA" w14:textId="77777777" w:rsidR="00FF5C20" w:rsidRPr="00125E99" w:rsidRDefault="00FF5C20">
      <w:pPr>
        <w:jc w:val="left"/>
        <w:rPr>
          <w:color w:val="000000" w:themeColor="text1"/>
        </w:rPr>
      </w:pPr>
    </w:p>
    <w:p w14:paraId="2D6BE8C9" w14:textId="45996FFE" w:rsidR="00FF5C20" w:rsidRPr="00125E99" w:rsidRDefault="00FF5C20" w:rsidP="004039D1">
      <w:pPr>
        <w:ind w:firstLine="0"/>
        <w:rPr>
          <w:color w:val="000000" w:themeColor="text1"/>
        </w:rPr>
        <w:sectPr w:rsidR="00FF5C20" w:rsidRPr="00125E99">
          <w:headerReference w:type="default" r:id="rId15"/>
          <w:footerReference w:type="first" r:id="rId16"/>
          <w:pgSz w:w="11906" w:h="16838"/>
          <w:pgMar w:top="766" w:right="567" w:bottom="1701" w:left="1701" w:header="709" w:footer="709" w:gutter="0"/>
          <w:cols w:space="720"/>
          <w:formProt w:val="0"/>
          <w:titlePg/>
          <w:docGrid w:linePitch="381"/>
        </w:sectPr>
      </w:pPr>
    </w:p>
    <w:tbl>
      <w:tblPr>
        <w:tblStyle w:val="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5321"/>
        <w:gridCol w:w="4034"/>
      </w:tblGrid>
      <w:tr w:rsidR="00FF5C20" w:rsidRPr="00125E99" w14:paraId="4F6082AB" w14:textId="77777777" w:rsidTr="00E5023B">
        <w:trPr>
          <w:trHeight w:val="1433"/>
        </w:trPr>
        <w:tc>
          <w:tcPr>
            <w:tcW w:w="5320" w:type="dxa"/>
            <w:shd w:val="clear" w:color="auto" w:fill="auto"/>
          </w:tcPr>
          <w:p w14:paraId="445383D9" w14:textId="77777777" w:rsidR="00FF5C20" w:rsidRPr="00125E99" w:rsidRDefault="00FF5C20">
            <w:pPr>
              <w:pageBreakBefore/>
              <w:widowControl w:val="0"/>
              <w:rPr>
                <w:rFonts w:eastAsia="Calibri"/>
                <w:color w:val="000000" w:themeColor="text1"/>
                <w:szCs w:val="22"/>
              </w:rPr>
            </w:pPr>
          </w:p>
        </w:tc>
        <w:tc>
          <w:tcPr>
            <w:tcW w:w="4034" w:type="dxa"/>
            <w:shd w:val="clear" w:color="auto" w:fill="auto"/>
          </w:tcPr>
          <w:p w14:paraId="639A81A8" w14:textId="77777777" w:rsidR="00E5023B" w:rsidRPr="00125E99" w:rsidRDefault="00E5023B">
            <w:pPr>
              <w:widowControl w:val="0"/>
              <w:ind w:firstLine="0"/>
              <w:rPr>
                <w:rFonts w:eastAsia="Calibri"/>
                <w:color w:val="000000" w:themeColor="text1"/>
                <w:szCs w:val="22"/>
              </w:rPr>
            </w:pPr>
          </w:p>
          <w:p w14:paraId="52F5EDCE" w14:textId="12731287" w:rsidR="00FF5C20" w:rsidRPr="00125E99" w:rsidRDefault="0023702F">
            <w:pPr>
              <w:widowControl w:val="0"/>
              <w:ind w:firstLine="0"/>
              <w:rPr>
                <w:color w:val="000000" w:themeColor="text1"/>
              </w:rPr>
            </w:pPr>
            <w:r w:rsidRPr="00125E99">
              <w:rPr>
                <w:rFonts w:eastAsia="Calibri"/>
                <w:color w:val="000000" w:themeColor="text1"/>
                <w:szCs w:val="22"/>
              </w:rPr>
              <w:t>ЗАТВЕРДЖЕНО</w:t>
            </w:r>
          </w:p>
          <w:p w14:paraId="3FB0C6BC" w14:textId="77777777" w:rsidR="00FF5C20" w:rsidRPr="00125E99" w:rsidRDefault="0023702F">
            <w:pPr>
              <w:ind w:firstLine="0"/>
              <w:rPr>
                <w:color w:val="000000" w:themeColor="text1"/>
              </w:rPr>
            </w:pPr>
            <w:r w:rsidRPr="00125E99">
              <w:rPr>
                <w:rFonts w:eastAsia="Calibri"/>
                <w:color w:val="000000" w:themeColor="text1"/>
                <w:szCs w:val="22"/>
              </w:rPr>
              <w:t>Постанова Правління</w:t>
            </w:r>
          </w:p>
          <w:p w14:paraId="7BC4FE66" w14:textId="77777777" w:rsidR="00FF5C20" w:rsidRPr="00125E99" w:rsidRDefault="0023702F">
            <w:pPr>
              <w:ind w:firstLine="0"/>
              <w:rPr>
                <w:color w:val="000000" w:themeColor="text1"/>
              </w:rPr>
            </w:pPr>
            <w:r w:rsidRPr="00125E99">
              <w:rPr>
                <w:rFonts w:eastAsia="Calibri"/>
                <w:color w:val="000000" w:themeColor="text1"/>
                <w:szCs w:val="22"/>
              </w:rPr>
              <w:t>Національного банку України</w:t>
            </w:r>
          </w:p>
        </w:tc>
      </w:tr>
    </w:tbl>
    <w:p w14:paraId="4481BE73" w14:textId="77777777" w:rsidR="00FF5C20" w:rsidRPr="00125E99" w:rsidRDefault="00FF5C20">
      <w:pPr>
        <w:ind w:left="5954"/>
        <w:rPr>
          <w:rFonts w:eastAsia="Calibri"/>
          <w:color w:val="000000" w:themeColor="text1"/>
        </w:rPr>
      </w:pPr>
    </w:p>
    <w:p w14:paraId="407423EF" w14:textId="77777777" w:rsidR="00FF5C20" w:rsidRPr="00125E99" w:rsidRDefault="00FF5C20">
      <w:pPr>
        <w:ind w:left="5954"/>
        <w:rPr>
          <w:rFonts w:eastAsia="Calibri"/>
          <w:color w:val="000000" w:themeColor="text1"/>
        </w:rPr>
      </w:pPr>
    </w:p>
    <w:p w14:paraId="42935FB7" w14:textId="77777777" w:rsidR="00FF5C20" w:rsidRPr="00125E99" w:rsidRDefault="00FF5C20">
      <w:pPr>
        <w:jc w:val="center"/>
        <w:rPr>
          <w:rFonts w:eastAsia="Calibri"/>
          <w:color w:val="000000" w:themeColor="text1"/>
        </w:rPr>
      </w:pPr>
    </w:p>
    <w:p w14:paraId="4CC5B0C0" w14:textId="3C9251C6" w:rsidR="00B457F2" w:rsidRPr="00125E99" w:rsidRDefault="00B457F2" w:rsidP="00B457F2">
      <w:pPr>
        <w:ind w:firstLine="0"/>
        <w:rPr>
          <w:bCs/>
        </w:rPr>
      </w:pPr>
    </w:p>
    <w:p w14:paraId="2D91CB56" w14:textId="77777777" w:rsidR="00FB7851" w:rsidRPr="00125E99" w:rsidRDefault="00B457F2" w:rsidP="00CF3675">
      <w:pPr>
        <w:jc w:val="center"/>
        <w:rPr>
          <w:bCs/>
        </w:rPr>
      </w:pPr>
      <w:r w:rsidRPr="00125E99">
        <w:rPr>
          <w:bCs/>
        </w:rPr>
        <w:t xml:space="preserve">Положення </w:t>
      </w:r>
    </w:p>
    <w:p w14:paraId="571A9D00" w14:textId="2FB1751F" w:rsidR="00B457F2" w:rsidRPr="00125E99" w:rsidRDefault="00B457F2" w:rsidP="00CF3675">
      <w:pPr>
        <w:jc w:val="center"/>
        <w:rPr>
          <w:bCs/>
        </w:rPr>
      </w:pPr>
      <w:r w:rsidRPr="00125E99">
        <w:rPr>
          <w:bCs/>
        </w:rPr>
        <w:t>про</w:t>
      </w:r>
      <w:r w:rsidR="00F071D5" w:rsidRPr="00125E99">
        <w:rPr>
          <w:bCs/>
        </w:rPr>
        <w:t xml:space="preserve"> </w:t>
      </w:r>
      <w:r w:rsidR="00442B30" w:rsidRPr="00125E99">
        <w:rPr>
          <w:bCs/>
        </w:rPr>
        <w:t>регулювання діяльності</w:t>
      </w:r>
      <w:r w:rsidR="00F071D5" w:rsidRPr="00125E99">
        <w:rPr>
          <w:bCs/>
        </w:rPr>
        <w:t xml:space="preserve"> фінансових компаній</w:t>
      </w:r>
      <w:r w:rsidR="00FB7851" w:rsidRPr="00125E99">
        <w:rPr>
          <w:bCs/>
        </w:rPr>
        <w:t>, які мають право здійснювати діяльність з надання гарантій</w:t>
      </w:r>
    </w:p>
    <w:p w14:paraId="3305EE61" w14:textId="77777777" w:rsidR="00B457F2" w:rsidRPr="00125E99" w:rsidRDefault="00B457F2" w:rsidP="00CF3675">
      <w:pPr>
        <w:jc w:val="center"/>
        <w:outlineLvl w:val="0"/>
        <w:rPr>
          <w:bCs/>
        </w:rPr>
      </w:pPr>
    </w:p>
    <w:p w14:paraId="0596CFDD" w14:textId="3D0927FD" w:rsidR="00B457F2" w:rsidRPr="00125E99" w:rsidRDefault="00B457F2" w:rsidP="00CF3675">
      <w:pPr>
        <w:jc w:val="center"/>
        <w:outlineLvl w:val="0"/>
        <w:rPr>
          <w:bCs/>
        </w:rPr>
      </w:pPr>
      <w:r w:rsidRPr="00125E99">
        <w:rPr>
          <w:bCs/>
        </w:rPr>
        <w:t>І. Загальні положення</w:t>
      </w:r>
    </w:p>
    <w:p w14:paraId="234FF3EC" w14:textId="77777777" w:rsidR="000F56A7" w:rsidRPr="00125E99" w:rsidRDefault="000F56A7" w:rsidP="00CF3675">
      <w:pPr>
        <w:jc w:val="center"/>
        <w:outlineLvl w:val="0"/>
        <w:rPr>
          <w:bCs/>
        </w:rPr>
      </w:pPr>
    </w:p>
    <w:p w14:paraId="5D886BD7" w14:textId="17B83077" w:rsidR="008679A1" w:rsidRPr="00125E99" w:rsidRDefault="00B457F2" w:rsidP="002B6A3D">
      <w:pPr>
        <w:pStyle w:val="afb"/>
        <w:numPr>
          <w:ilvl w:val="0"/>
          <w:numId w:val="1"/>
        </w:numPr>
        <w:tabs>
          <w:tab w:val="left" w:pos="851"/>
          <w:tab w:val="left" w:pos="1134"/>
        </w:tabs>
        <w:ind w:left="0" w:firstLine="567"/>
        <w:rPr>
          <w:bCs/>
        </w:rPr>
      </w:pPr>
      <w:r w:rsidRPr="00125E99">
        <w:rPr>
          <w:bCs/>
        </w:rPr>
        <w:t>Це Положення розроблено відповідно до Законів України “Про Національний банк України”, “Про фінансові послуги та фінансові компанії” (далі – Закон про фінансові послуги)</w:t>
      </w:r>
      <w:r w:rsidR="00D07A7F" w:rsidRPr="00125E99">
        <w:rPr>
          <w:bCs/>
        </w:rPr>
        <w:t xml:space="preserve"> </w:t>
      </w:r>
      <w:r w:rsidR="008679A1" w:rsidRPr="00125E99">
        <w:rPr>
          <w:bCs/>
        </w:rPr>
        <w:t xml:space="preserve">з метою </w:t>
      </w:r>
      <w:r w:rsidR="008C1046" w:rsidRPr="00125E99">
        <w:rPr>
          <w:bCs/>
        </w:rPr>
        <w:t>врегулювання діяльності</w:t>
      </w:r>
      <w:r w:rsidR="008679A1" w:rsidRPr="00125E99">
        <w:rPr>
          <w:bCs/>
        </w:rPr>
        <w:t xml:space="preserve"> фінансових компаній, які мають право здійснювати діяльність з надання гарантій на підставі ліцензі</w:t>
      </w:r>
      <w:r w:rsidR="00AD7377" w:rsidRPr="00125E99">
        <w:rPr>
          <w:bCs/>
        </w:rPr>
        <w:t>й</w:t>
      </w:r>
      <w:r w:rsidR="008679A1" w:rsidRPr="00125E99">
        <w:rPr>
          <w:bCs/>
        </w:rPr>
        <w:t xml:space="preserve"> на діяльність фінансової компанії (далі – небанківський гарант).</w:t>
      </w:r>
    </w:p>
    <w:p w14:paraId="07E99891" w14:textId="77777777" w:rsidR="008679A1" w:rsidRPr="00125E99" w:rsidRDefault="008679A1" w:rsidP="00D55F16">
      <w:pPr>
        <w:tabs>
          <w:tab w:val="left" w:pos="1134"/>
        </w:tabs>
        <w:rPr>
          <w:bCs/>
        </w:rPr>
      </w:pPr>
    </w:p>
    <w:p w14:paraId="3BCBA6D8" w14:textId="73F5557C" w:rsidR="001D037F" w:rsidRPr="00125E99" w:rsidRDefault="001D037F" w:rsidP="002B6A3D">
      <w:pPr>
        <w:tabs>
          <w:tab w:val="left" w:pos="1134"/>
        </w:tabs>
        <w:ind w:firstLine="567"/>
        <w:rPr>
          <w:bCs/>
        </w:rPr>
      </w:pPr>
      <w:r w:rsidRPr="00125E99">
        <w:rPr>
          <w:bCs/>
        </w:rPr>
        <w:t>2</w:t>
      </w:r>
      <w:r w:rsidR="00181561" w:rsidRPr="00125E99">
        <w:rPr>
          <w:bCs/>
        </w:rPr>
        <w:t>.</w:t>
      </w:r>
      <w:r w:rsidRPr="00125E99">
        <w:rPr>
          <w:bCs/>
        </w:rPr>
        <w:t>Терміни в цьому Положенні вживаються в таких значеннях:</w:t>
      </w:r>
    </w:p>
    <w:p w14:paraId="761C28D6" w14:textId="44A096D3" w:rsidR="009E6E34" w:rsidRPr="00125E99" w:rsidRDefault="009E6E34" w:rsidP="002B6A3D">
      <w:pPr>
        <w:tabs>
          <w:tab w:val="left" w:pos="1134"/>
        </w:tabs>
        <w:ind w:firstLine="567"/>
        <w:rPr>
          <w:rStyle w:val="ad"/>
          <w:bCs/>
          <w:color w:val="auto"/>
          <w:u w:val="none"/>
        </w:rPr>
      </w:pPr>
    </w:p>
    <w:p w14:paraId="31578B1C" w14:textId="6FF9347F" w:rsidR="009E6E34" w:rsidRPr="00125E99" w:rsidRDefault="009E6E34" w:rsidP="002B6A3D">
      <w:pPr>
        <w:pStyle w:val="afb"/>
        <w:numPr>
          <w:ilvl w:val="0"/>
          <w:numId w:val="32"/>
        </w:numPr>
        <w:shd w:val="clear" w:color="auto" w:fill="FFFFFF"/>
        <w:tabs>
          <w:tab w:val="left" w:pos="851"/>
          <w:tab w:val="left" w:pos="1843"/>
        </w:tabs>
        <w:ind w:left="0" w:firstLine="567"/>
      </w:pPr>
      <w:proofErr w:type="spellStart"/>
      <w:r w:rsidRPr="00125E99">
        <w:rPr>
          <w:shd w:val="clear" w:color="auto" w:fill="FFFFFF"/>
        </w:rPr>
        <w:t>контргарантія</w:t>
      </w:r>
      <w:proofErr w:type="spellEnd"/>
      <w:r w:rsidRPr="00125E99">
        <w:rPr>
          <w:shd w:val="clear" w:color="auto" w:fill="FFFFFF"/>
        </w:rPr>
        <w:t xml:space="preserve"> – гарантія, яку надає:</w:t>
      </w:r>
    </w:p>
    <w:p w14:paraId="06808445" w14:textId="4F3AC8F8" w:rsidR="009E6E34" w:rsidRPr="00125E99" w:rsidRDefault="009E6E34" w:rsidP="002B6A3D">
      <w:pPr>
        <w:shd w:val="clear" w:color="auto" w:fill="FFFFFF"/>
        <w:tabs>
          <w:tab w:val="left" w:pos="993"/>
          <w:tab w:val="left" w:pos="1134"/>
        </w:tabs>
        <w:ind w:firstLine="567"/>
        <w:rPr>
          <w:shd w:val="clear" w:color="auto" w:fill="FFFFFF"/>
        </w:rPr>
      </w:pPr>
      <w:r w:rsidRPr="00125E99">
        <w:rPr>
          <w:shd w:val="clear" w:color="auto" w:fill="FFFFFF"/>
        </w:rPr>
        <w:t>небанківський гарант на користь</w:t>
      </w:r>
      <w:r w:rsidR="00033414" w:rsidRPr="00125E99">
        <w:rPr>
          <w:shd w:val="clear" w:color="auto" w:fill="FFFFFF"/>
        </w:rPr>
        <w:t xml:space="preserve"> фінансової установи</w:t>
      </w:r>
      <w:r w:rsidRPr="00125E99">
        <w:rPr>
          <w:shd w:val="clear" w:color="auto" w:fill="FFFFFF"/>
        </w:rPr>
        <w:t xml:space="preserve">, </w:t>
      </w:r>
      <w:r w:rsidR="00033414" w:rsidRPr="00125E99">
        <w:rPr>
          <w:shd w:val="clear" w:color="auto" w:fill="FFFFFF"/>
        </w:rPr>
        <w:t>яка</w:t>
      </w:r>
      <w:r w:rsidRPr="00125E99">
        <w:rPr>
          <w:shd w:val="clear" w:color="auto" w:fill="FFFFFF"/>
        </w:rPr>
        <w:t xml:space="preserve"> має право здійснювати діяльність з надання гарантій (далі – установа); </w:t>
      </w:r>
    </w:p>
    <w:p w14:paraId="251A74BA" w14:textId="77777777" w:rsidR="009E6E34" w:rsidRPr="00125E99" w:rsidRDefault="009E6E34" w:rsidP="002B6A3D">
      <w:pPr>
        <w:pStyle w:val="afb"/>
        <w:shd w:val="clear" w:color="auto" w:fill="FFFFFF"/>
        <w:tabs>
          <w:tab w:val="left" w:pos="993"/>
          <w:tab w:val="left" w:pos="1134"/>
        </w:tabs>
        <w:ind w:left="0" w:firstLine="567"/>
      </w:pPr>
      <w:r w:rsidRPr="00125E99">
        <w:t>установа на користь небанківського гаранта;</w:t>
      </w:r>
    </w:p>
    <w:p w14:paraId="1BB4E15D" w14:textId="06B3D0F5" w:rsidR="009E6E34" w:rsidRPr="00125E99" w:rsidRDefault="009E6E34" w:rsidP="002B6A3D">
      <w:pPr>
        <w:shd w:val="clear" w:color="auto" w:fill="FFFFFF"/>
        <w:tabs>
          <w:tab w:val="left" w:pos="993"/>
          <w:tab w:val="left" w:pos="1134"/>
        </w:tabs>
        <w:ind w:firstLine="567"/>
        <w:rPr>
          <w:shd w:val="clear" w:color="auto" w:fill="FFFFFF"/>
        </w:rPr>
      </w:pPr>
    </w:p>
    <w:p w14:paraId="0B5F0F68" w14:textId="0F6B851B" w:rsidR="009E6E34" w:rsidRPr="00125E99" w:rsidRDefault="009E6E34" w:rsidP="002B6A3D">
      <w:pPr>
        <w:pStyle w:val="afc"/>
        <w:ind w:firstLine="567"/>
        <w:rPr>
          <w:sz w:val="28"/>
          <w:szCs w:val="28"/>
        </w:rPr>
      </w:pPr>
      <w:r w:rsidRPr="00125E99">
        <w:rPr>
          <w:sz w:val="28"/>
          <w:szCs w:val="28"/>
        </w:rPr>
        <w:t>2) норматив достатності (адекватності) капіталу (далі – Н1) – показник, що встановлюється для запобігання надмірному перекладанню небанківським гарантом кредитного ризику та ризику неповернення активів на кредиторів небанківського гаранта;</w:t>
      </w:r>
      <w:r w:rsidRPr="00125E99" w:rsidDel="000C1BD8">
        <w:rPr>
          <w:sz w:val="28"/>
          <w:szCs w:val="28"/>
        </w:rPr>
        <w:t xml:space="preserve"> </w:t>
      </w:r>
    </w:p>
    <w:p w14:paraId="0DF1A99C" w14:textId="77777777" w:rsidR="009E6E34" w:rsidRPr="00125E99" w:rsidRDefault="009E6E34" w:rsidP="002B6A3D">
      <w:pPr>
        <w:pStyle w:val="afc"/>
        <w:tabs>
          <w:tab w:val="left" w:pos="639"/>
          <w:tab w:val="left" w:pos="709"/>
          <w:tab w:val="left" w:pos="993"/>
          <w:tab w:val="left" w:pos="1134"/>
        </w:tabs>
        <w:ind w:firstLine="567"/>
        <w:rPr>
          <w:sz w:val="28"/>
          <w:szCs w:val="28"/>
        </w:rPr>
      </w:pPr>
    </w:p>
    <w:p w14:paraId="58DEAF12" w14:textId="75D8357E" w:rsidR="009E6E34" w:rsidRPr="00125E99" w:rsidRDefault="009E6E34" w:rsidP="002B6A3D">
      <w:pPr>
        <w:pStyle w:val="afc"/>
        <w:tabs>
          <w:tab w:val="left" w:pos="639"/>
          <w:tab w:val="left" w:pos="709"/>
          <w:tab w:val="left" w:pos="993"/>
          <w:tab w:val="left" w:pos="1134"/>
        </w:tabs>
        <w:ind w:firstLine="567"/>
        <w:rPr>
          <w:sz w:val="28"/>
          <w:szCs w:val="28"/>
        </w:rPr>
      </w:pPr>
      <w:r w:rsidRPr="00125E99">
        <w:rPr>
          <w:sz w:val="28"/>
          <w:szCs w:val="28"/>
        </w:rPr>
        <w:t>3) норматив запасу ліквідності</w:t>
      </w:r>
      <w:r w:rsidR="008F30CA" w:rsidRPr="00125E99">
        <w:rPr>
          <w:sz w:val="28"/>
          <w:szCs w:val="28"/>
        </w:rPr>
        <w:t xml:space="preserve"> (далі – Н2)</w:t>
      </w:r>
      <w:r w:rsidRPr="00125E99">
        <w:rPr>
          <w:sz w:val="28"/>
          <w:szCs w:val="28"/>
        </w:rPr>
        <w:t xml:space="preserve">  – показник, що визначає мінімально необхідний обсяг високоліквідних активів небанківського гаранта для забезпечення виконання ним поточних </w:t>
      </w:r>
      <w:proofErr w:type="spellStart"/>
      <w:r w:rsidRPr="00125E99">
        <w:rPr>
          <w:sz w:val="28"/>
          <w:szCs w:val="28"/>
        </w:rPr>
        <w:t>зобовʼязань</w:t>
      </w:r>
      <w:proofErr w:type="spellEnd"/>
      <w:r w:rsidRPr="00125E99">
        <w:rPr>
          <w:sz w:val="28"/>
          <w:szCs w:val="28"/>
        </w:rPr>
        <w:t>;</w:t>
      </w:r>
    </w:p>
    <w:p w14:paraId="540C64D2" w14:textId="77777777" w:rsidR="009E6E34" w:rsidRPr="00125E99" w:rsidRDefault="009E6E34" w:rsidP="002B6A3D">
      <w:pPr>
        <w:pStyle w:val="afc"/>
        <w:tabs>
          <w:tab w:val="left" w:pos="639"/>
          <w:tab w:val="left" w:pos="709"/>
          <w:tab w:val="left" w:pos="993"/>
          <w:tab w:val="left" w:pos="1134"/>
        </w:tabs>
        <w:ind w:firstLine="567"/>
        <w:rPr>
          <w:sz w:val="28"/>
          <w:szCs w:val="28"/>
        </w:rPr>
      </w:pPr>
    </w:p>
    <w:p w14:paraId="71EF1868" w14:textId="351CBEAB" w:rsidR="009E6E34" w:rsidRPr="00125E99" w:rsidRDefault="009E6E34" w:rsidP="002B6A3D">
      <w:pPr>
        <w:pStyle w:val="afc"/>
        <w:tabs>
          <w:tab w:val="left" w:pos="709"/>
          <w:tab w:val="left" w:pos="1134"/>
        </w:tabs>
        <w:ind w:firstLine="567"/>
        <w:rPr>
          <w:sz w:val="28"/>
          <w:szCs w:val="28"/>
        </w:rPr>
      </w:pPr>
      <w:r w:rsidRPr="00125E99">
        <w:rPr>
          <w:sz w:val="28"/>
          <w:szCs w:val="28"/>
        </w:rPr>
        <w:t xml:space="preserve">4) норматив максимального ризику на одну особу або групу пов’язаних осіб  (далі – Н3) – показник, що встановлюється з метою обмеження ризиків небанківського гаранта, що виникають внаслідок невиконання принципалом або групою </w:t>
      </w:r>
      <w:proofErr w:type="spellStart"/>
      <w:r w:rsidRPr="00125E99">
        <w:rPr>
          <w:sz w:val="28"/>
          <w:szCs w:val="28"/>
        </w:rPr>
        <w:t>повʼязаних</w:t>
      </w:r>
      <w:proofErr w:type="spellEnd"/>
      <w:r w:rsidRPr="00125E99">
        <w:rPr>
          <w:sz w:val="28"/>
          <w:szCs w:val="28"/>
        </w:rPr>
        <w:t xml:space="preserve"> осіб – клієнтів небанківського гаранта, до складу яких належить принципал (далі – група </w:t>
      </w:r>
      <w:proofErr w:type="spellStart"/>
      <w:r w:rsidRPr="00125E99">
        <w:rPr>
          <w:sz w:val="28"/>
          <w:szCs w:val="28"/>
        </w:rPr>
        <w:t>повʼязаних</w:t>
      </w:r>
      <w:proofErr w:type="spellEnd"/>
      <w:r w:rsidRPr="00125E99">
        <w:rPr>
          <w:sz w:val="28"/>
          <w:szCs w:val="28"/>
        </w:rPr>
        <w:t xml:space="preserve"> осіб), зобов’яза</w:t>
      </w:r>
      <w:r w:rsidR="0046105B" w:rsidRPr="00125E99">
        <w:rPr>
          <w:sz w:val="28"/>
          <w:szCs w:val="28"/>
        </w:rPr>
        <w:t>нь перед небанківським гарантом;</w:t>
      </w:r>
    </w:p>
    <w:p w14:paraId="2ACB63CA" w14:textId="71E3CEA3" w:rsidR="007C1CDB" w:rsidRPr="00125E99" w:rsidRDefault="007C1CDB" w:rsidP="00193979">
      <w:pPr>
        <w:pStyle w:val="afc"/>
        <w:tabs>
          <w:tab w:val="left" w:pos="709"/>
          <w:tab w:val="left" w:pos="1134"/>
        </w:tabs>
        <w:rPr>
          <w:sz w:val="28"/>
          <w:szCs w:val="28"/>
        </w:rPr>
      </w:pPr>
    </w:p>
    <w:p w14:paraId="7BA89FE4" w14:textId="77777777" w:rsidR="007C1CDB" w:rsidRPr="00125E99" w:rsidRDefault="007C1CDB" w:rsidP="002B6A3D">
      <w:pPr>
        <w:ind w:firstLine="567"/>
      </w:pPr>
      <w:r w:rsidRPr="00125E99">
        <w:lastRenderedPageBreak/>
        <w:t>5) принципал – особа, зазначена в гарантії/</w:t>
      </w:r>
      <w:proofErr w:type="spellStart"/>
      <w:r w:rsidRPr="00125E99">
        <w:t>контргарантії</w:t>
      </w:r>
      <w:proofErr w:type="spellEnd"/>
      <w:r w:rsidRPr="00125E99">
        <w:t xml:space="preserve"> як така, що має </w:t>
      </w:r>
      <w:proofErr w:type="spellStart"/>
      <w:r w:rsidRPr="00125E99">
        <w:t>зобовʼязання</w:t>
      </w:r>
      <w:proofErr w:type="spellEnd"/>
      <w:r w:rsidRPr="00125E99">
        <w:t xml:space="preserve"> за відносинами, що забезпечуються гарантією/</w:t>
      </w:r>
      <w:proofErr w:type="spellStart"/>
      <w:r w:rsidRPr="00125E99">
        <w:t>контргарантією</w:t>
      </w:r>
      <w:proofErr w:type="spellEnd"/>
      <w:r w:rsidRPr="00125E99">
        <w:t>;</w:t>
      </w:r>
    </w:p>
    <w:p w14:paraId="4B7B2E5D" w14:textId="67B84D24" w:rsidR="007C1CDB" w:rsidRPr="00125E99" w:rsidRDefault="007C1CDB" w:rsidP="002B6A3D">
      <w:pPr>
        <w:pStyle w:val="afc"/>
        <w:tabs>
          <w:tab w:val="left" w:pos="709"/>
          <w:tab w:val="left" w:pos="1134"/>
        </w:tabs>
        <w:ind w:firstLine="567"/>
        <w:rPr>
          <w:sz w:val="28"/>
          <w:szCs w:val="28"/>
        </w:rPr>
      </w:pPr>
    </w:p>
    <w:p w14:paraId="3A74F007" w14:textId="1D3CACD6" w:rsidR="001D037F" w:rsidRPr="00125E99" w:rsidRDefault="007C1CDB" w:rsidP="002B6A3D">
      <w:pPr>
        <w:pStyle w:val="afc"/>
        <w:ind w:firstLine="567"/>
        <w:rPr>
          <w:sz w:val="28"/>
          <w:szCs w:val="28"/>
        </w:rPr>
      </w:pPr>
      <w:r w:rsidRPr="00125E99">
        <w:rPr>
          <w:sz w:val="28"/>
          <w:szCs w:val="28"/>
        </w:rPr>
        <w:t>6</w:t>
      </w:r>
      <w:r w:rsidR="0046105B" w:rsidRPr="00125E99">
        <w:rPr>
          <w:sz w:val="28"/>
          <w:szCs w:val="28"/>
        </w:rPr>
        <w:t xml:space="preserve">) </w:t>
      </w:r>
      <w:r w:rsidR="009E6E34" w:rsidRPr="00125E99">
        <w:rPr>
          <w:sz w:val="28"/>
          <w:szCs w:val="28"/>
        </w:rPr>
        <w:t>регулятивний капітал небанківського гаранта (далі – РК)  –  капітал, який небанківський гарант повинен мати у своєму розпорядженні, основним призначенням якого є поглинання збитків, спричинених ризиками, на які наражається небанківський гарант під час своєї діяльності, а також забезпечення фінансової стійкості й стабільності діяльності небанківського гаранта.</w:t>
      </w:r>
    </w:p>
    <w:p w14:paraId="4812D1C1" w14:textId="3304F537" w:rsidR="00181561" w:rsidRPr="00125E99" w:rsidRDefault="00181561" w:rsidP="002B6A3D">
      <w:pPr>
        <w:shd w:val="clear" w:color="auto" w:fill="FFFFFF"/>
        <w:tabs>
          <w:tab w:val="left" w:pos="851"/>
          <w:tab w:val="left" w:pos="993"/>
          <w:tab w:val="left" w:pos="1134"/>
        </w:tabs>
        <w:ind w:firstLine="567"/>
      </w:pPr>
      <w:r w:rsidRPr="00125E99">
        <w:rPr>
          <w:bCs/>
        </w:rPr>
        <w:t xml:space="preserve">Термін “гарантія” уживається в цьому Положенні в значенні, наведеному в </w:t>
      </w:r>
      <w:r w:rsidR="00C03685" w:rsidRPr="00125E99">
        <w:rPr>
          <w:bCs/>
        </w:rPr>
        <w:t xml:space="preserve">главі 49 </w:t>
      </w:r>
      <w:r w:rsidR="00FA34F9" w:rsidRPr="00125E99">
        <w:rPr>
          <w:bCs/>
        </w:rPr>
        <w:t xml:space="preserve">Цивільного </w:t>
      </w:r>
      <w:r w:rsidRPr="00125E99">
        <w:rPr>
          <w:bCs/>
        </w:rPr>
        <w:t>кодекс</w:t>
      </w:r>
      <w:r w:rsidR="00FA34F9" w:rsidRPr="00125E99">
        <w:rPr>
          <w:bCs/>
        </w:rPr>
        <w:t>у</w:t>
      </w:r>
      <w:r w:rsidRPr="00125E99">
        <w:rPr>
          <w:bCs/>
        </w:rPr>
        <w:t xml:space="preserve"> України.</w:t>
      </w:r>
    </w:p>
    <w:p w14:paraId="59EBA529" w14:textId="585BE04E" w:rsidR="00181561" w:rsidRPr="00125E99" w:rsidRDefault="00181561" w:rsidP="002B6A3D">
      <w:pPr>
        <w:tabs>
          <w:tab w:val="left" w:pos="1134"/>
        </w:tabs>
        <w:ind w:firstLine="567"/>
        <w:rPr>
          <w:bCs/>
        </w:rPr>
      </w:pPr>
      <w:r w:rsidRPr="00125E99">
        <w:rPr>
          <w:bCs/>
        </w:rPr>
        <w:t>Інші терміни в цьому Положенні вживаються у значеннях, наведених у </w:t>
      </w:r>
      <w:hyperlink r:id="rId17" w:tgtFrame="_blank" w:history="1">
        <w:r w:rsidRPr="00125E99">
          <w:rPr>
            <w:bCs/>
          </w:rPr>
          <w:t>Законі про фінансові послуги</w:t>
        </w:r>
      </w:hyperlink>
      <w:r w:rsidRPr="00125E99">
        <w:rPr>
          <w:bCs/>
        </w:rPr>
        <w:t>, інших законах України та нормативно-правових актах з питань регулювання ринків фінансових послуг.</w:t>
      </w:r>
    </w:p>
    <w:p w14:paraId="57B8E95A" w14:textId="77777777" w:rsidR="00181561" w:rsidRPr="00125E99" w:rsidRDefault="00181561" w:rsidP="00181561">
      <w:pPr>
        <w:tabs>
          <w:tab w:val="left" w:pos="1134"/>
        </w:tabs>
        <w:rPr>
          <w:bCs/>
        </w:rPr>
      </w:pPr>
    </w:p>
    <w:p w14:paraId="20A4675B" w14:textId="167D794A" w:rsidR="00F957EE" w:rsidRPr="00125E99" w:rsidRDefault="00181561" w:rsidP="002B6A3D">
      <w:pPr>
        <w:tabs>
          <w:tab w:val="left" w:pos="567"/>
          <w:tab w:val="left" w:pos="851"/>
          <w:tab w:val="left" w:pos="993"/>
        </w:tabs>
        <w:ind w:firstLine="567"/>
        <w:rPr>
          <w:bCs/>
        </w:rPr>
      </w:pPr>
      <w:r w:rsidRPr="00125E99">
        <w:rPr>
          <w:bCs/>
        </w:rPr>
        <w:t xml:space="preserve">3. </w:t>
      </w:r>
      <w:r w:rsidR="008679A1" w:rsidRPr="00125E99">
        <w:rPr>
          <w:bCs/>
        </w:rPr>
        <w:t xml:space="preserve">Це Положення </w:t>
      </w:r>
      <w:r w:rsidR="00F071D5" w:rsidRPr="00125E99">
        <w:rPr>
          <w:bCs/>
        </w:rPr>
        <w:t>встановлює</w:t>
      </w:r>
      <w:r w:rsidR="00F957EE" w:rsidRPr="00125E99">
        <w:rPr>
          <w:bCs/>
        </w:rPr>
        <w:t>:</w:t>
      </w:r>
    </w:p>
    <w:p w14:paraId="70381A87" w14:textId="77777777" w:rsidR="00F957EE" w:rsidRPr="00125E99" w:rsidRDefault="00F957EE" w:rsidP="002B6A3D">
      <w:pPr>
        <w:pStyle w:val="afb"/>
        <w:tabs>
          <w:tab w:val="left" w:pos="567"/>
          <w:tab w:val="left" w:pos="851"/>
          <w:tab w:val="left" w:pos="993"/>
        </w:tabs>
        <w:ind w:left="0" w:firstLine="567"/>
        <w:rPr>
          <w:bCs/>
        </w:rPr>
      </w:pPr>
    </w:p>
    <w:p w14:paraId="09FB03A9" w14:textId="355599C5" w:rsidR="00F957EE" w:rsidRPr="00125E99" w:rsidRDefault="00442B30" w:rsidP="002B6A3D">
      <w:pPr>
        <w:pStyle w:val="afb"/>
        <w:numPr>
          <w:ilvl w:val="0"/>
          <w:numId w:val="10"/>
        </w:numPr>
        <w:tabs>
          <w:tab w:val="left" w:pos="567"/>
          <w:tab w:val="left" w:pos="851"/>
          <w:tab w:val="left" w:pos="993"/>
        </w:tabs>
        <w:ind w:left="0" w:firstLine="567"/>
      </w:pPr>
      <w:r w:rsidRPr="00125E99">
        <w:t xml:space="preserve">порядок визначення регулятивного капіталу </w:t>
      </w:r>
      <w:r w:rsidR="008679A1" w:rsidRPr="00125E99">
        <w:t>небанківського гаранта</w:t>
      </w:r>
      <w:r w:rsidR="00F957EE" w:rsidRPr="00125E99">
        <w:t>;</w:t>
      </w:r>
    </w:p>
    <w:p w14:paraId="2B4F99C4" w14:textId="61E9790F" w:rsidR="00F957EE" w:rsidRPr="00125E99" w:rsidRDefault="00F957EE" w:rsidP="002B6A3D">
      <w:pPr>
        <w:tabs>
          <w:tab w:val="left" w:pos="567"/>
          <w:tab w:val="left" w:pos="851"/>
          <w:tab w:val="left" w:pos="993"/>
        </w:tabs>
        <w:ind w:firstLine="567"/>
        <w:rPr>
          <w:bCs/>
        </w:rPr>
      </w:pPr>
    </w:p>
    <w:p w14:paraId="7781D68F" w14:textId="55A340C0" w:rsidR="006E6CC4" w:rsidRPr="00125E99" w:rsidRDefault="00F957EE" w:rsidP="00CC323C">
      <w:pPr>
        <w:pStyle w:val="afb"/>
        <w:numPr>
          <w:ilvl w:val="0"/>
          <w:numId w:val="10"/>
        </w:numPr>
        <w:shd w:val="clear" w:color="auto" w:fill="FFFFFF"/>
        <w:tabs>
          <w:tab w:val="left" w:pos="567"/>
          <w:tab w:val="left" w:pos="851"/>
          <w:tab w:val="left" w:pos="993"/>
          <w:tab w:val="left" w:pos="1134"/>
        </w:tabs>
        <w:ind w:left="0" w:firstLine="567"/>
      </w:pPr>
      <w:r w:rsidRPr="003A07C5">
        <w:rPr>
          <w:color w:val="333333"/>
          <w:shd w:val="clear" w:color="auto" w:fill="FFFFFF"/>
        </w:rPr>
        <w:t xml:space="preserve"> </w:t>
      </w:r>
      <w:proofErr w:type="spellStart"/>
      <w:r w:rsidR="00442B30" w:rsidRPr="00125E99">
        <w:t>обовʼязков</w:t>
      </w:r>
      <w:r w:rsidR="001A5372" w:rsidRPr="00125E99">
        <w:t>і</w:t>
      </w:r>
      <w:proofErr w:type="spellEnd"/>
      <w:r w:rsidR="00442B30" w:rsidRPr="00125E99">
        <w:t xml:space="preserve"> д</w:t>
      </w:r>
      <w:r w:rsidR="001A5372" w:rsidRPr="00125E99">
        <w:t>о</w:t>
      </w:r>
      <w:r w:rsidR="00442B30" w:rsidRPr="00125E99">
        <w:t xml:space="preserve"> виконання небанківськими гарантами</w:t>
      </w:r>
      <w:r w:rsidR="001A5372" w:rsidRPr="00125E99">
        <w:t xml:space="preserve"> </w:t>
      </w:r>
      <w:proofErr w:type="spellStart"/>
      <w:r w:rsidR="001A5372" w:rsidRPr="00125E99">
        <w:t>пруденційні</w:t>
      </w:r>
      <w:proofErr w:type="spellEnd"/>
      <w:r w:rsidR="001A5372" w:rsidRPr="00125E99">
        <w:t xml:space="preserve"> вимоги, </w:t>
      </w:r>
      <w:r w:rsidR="00BE3E3B" w:rsidRPr="00125E99">
        <w:t>включаючи</w:t>
      </w:r>
      <w:r w:rsidR="001A5372" w:rsidRPr="00125E99">
        <w:t xml:space="preserve"> такі </w:t>
      </w:r>
      <w:proofErr w:type="spellStart"/>
      <w:r w:rsidR="005D0679" w:rsidRPr="00125E99">
        <w:t>пруденційні</w:t>
      </w:r>
      <w:proofErr w:type="spellEnd"/>
      <w:r w:rsidR="005D0679" w:rsidRPr="00125E99">
        <w:t xml:space="preserve"> нормативи</w:t>
      </w:r>
      <w:r w:rsidR="00442B30" w:rsidRPr="003A07C5">
        <w:rPr>
          <w:color w:val="333333"/>
          <w:shd w:val="clear" w:color="auto" w:fill="FFFFFF"/>
        </w:rPr>
        <w:t>:</w:t>
      </w:r>
      <w:r w:rsidR="00442B30" w:rsidRPr="003A07C5">
        <w:rPr>
          <w:bCs/>
        </w:rPr>
        <w:t xml:space="preserve"> </w:t>
      </w:r>
      <w:r w:rsidR="00442B30" w:rsidRPr="00125E99">
        <w:t>Н1</w:t>
      </w:r>
      <w:r w:rsidR="003A07C5" w:rsidRPr="00CC323C">
        <w:rPr>
          <w:lang w:val="ru-RU"/>
        </w:rPr>
        <w:t xml:space="preserve">, </w:t>
      </w:r>
      <w:r w:rsidR="0026459E" w:rsidRPr="00125E99">
        <w:t>Н2</w:t>
      </w:r>
      <w:r w:rsidR="003A07C5" w:rsidRPr="00CC323C">
        <w:rPr>
          <w:lang w:val="ru-RU"/>
        </w:rPr>
        <w:t xml:space="preserve">, </w:t>
      </w:r>
      <w:r w:rsidR="0026459E" w:rsidRPr="00125E99">
        <w:t>Н3</w:t>
      </w:r>
      <w:r w:rsidR="005D0679" w:rsidRPr="00125E99">
        <w:t>.</w:t>
      </w:r>
    </w:p>
    <w:p w14:paraId="3B966361" w14:textId="77777777" w:rsidR="00B457F2" w:rsidRPr="00125E99" w:rsidRDefault="00B457F2" w:rsidP="00B54BDC">
      <w:pPr>
        <w:ind w:firstLine="0"/>
        <w:rPr>
          <w:bCs/>
        </w:rPr>
      </w:pPr>
    </w:p>
    <w:p w14:paraId="136F5DFA" w14:textId="75008DED" w:rsidR="00B457F2" w:rsidRPr="00125E99" w:rsidRDefault="00386330" w:rsidP="002B6A3D">
      <w:pPr>
        <w:ind w:firstLine="567"/>
        <w:rPr>
          <w:bCs/>
        </w:rPr>
      </w:pPr>
      <w:r w:rsidRPr="00125E99">
        <w:rPr>
          <w:bCs/>
        </w:rPr>
        <w:t>4</w:t>
      </w:r>
      <w:r w:rsidR="00B457F2" w:rsidRPr="00125E99">
        <w:rPr>
          <w:bCs/>
        </w:rPr>
        <w:t>. Вимоги цього Положення</w:t>
      </w:r>
      <w:r w:rsidR="003A1612" w:rsidRPr="00125E99">
        <w:rPr>
          <w:bCs/>
        </w:rPr>
        <w:t xml:space="preserve"> </w:t>
      </w:r>
      <w:r w:rsidR="00B457F2" w:rsidRPr="00125E99">
        <w:rPr>
          <w:bCs/>
        </w:rPr>
        <w:t xml:space="preserve">поширюються </w:t>
      </w:r>
      <w:r w:rsidR="00E717BD" w:rsidRPr="00125E99">
        <w:rPr>
          <w:bCs/>
        </w:rPr>
        <w:t>на</w:t>
      </w:r>
      <w:r w:rsidR="00A74925" w:rsidRPr="00125E99">
        <w:rPr>
          <w:bCs/>
        </w:rPr>
        <w:t xml:space="preserve"> небанківських гарантів</w:t>
      </w:r>
      <w:r w:rsidR="003A1612" w:rsidRPr="00125E99">
        <w:rPr>
          <w:bCs/>
        </w:rPr>
        <w:t xml:space="preserve">, крім </w:t>
      </w:r>
      <w:r w:rsidR="00883322" w:rsidRPr="00125E99">
        <w:rPr>
          <w:bCs/>
        </w:rPr>
        <w:t>Фонд</w:t>
      </w:r>
      <w:r w:rsidR="003A1612" w:rsidRPr="00125E99">
        <w:rPr>
          <w:bCs/>
        </w:rPr>
        <w:t>у</w:t>
      </w:r>
      <w:r w:rsidR="00883322" w:rsidRPr="00125E99">
        <w:rPr>
          <w:bCs/>
        </w:rPr>
        <w:t xml:space="preserve"> часткового гарантування кредитів у сільському господарстві</w:t>
      </w:r>
      <w:r w:rsidR="00B457F2" w:rsidRPr="00125E99">
        <w:rPr>
          <w:bCs/>
        </w:rPr>
        <w:t>.</w:t>
      </w:r>
    </w:p>
    <w:p w14:paraId="1A56236D" w14:textId="348F54E1" w:rsidR="00B457F2" w:rsidRPr="00125E99" w:rsidRDefault="00B457F2" w:rsidP="002B6A3D">
      <w:pPr>
        <w:ind w:firstLine="567"/>
        <w:rPr>
          <w:bCs/>
        </w:rPr>
      </w:pPr>
    </w:p>
    <w:p w14:paraId="7599CD55" w14:textId="3EE1C668" w:rsidR="00B457F2" w:rsidRPr="00125E99" w:rsidRDefault="00386330" w:rsidP="002B6A3D">
      <w:pPr>
        <w:pStyle w:val="afb"/>
        <w:ind w:left="0" w:firstLine="567"/>
        <w:rPr>
          <w:bCs/>
        </w:rPr>
      </w:pPr>
      <w:r w:rsidRPr="00125E99">
        <w:rPr>
          <w:bCs/>
        </w:rPr>
        <w:t>5</w:t>
      </w:r>
      <w:r w:rsidR="00B457F2" w:rsidRPr="00125E99">
        <w:rPr>
          <w:bCs/>
        </w:rPr>
        <w:t>.</w:t>
      </w:r>
      <w:r w:rsidR="008C6DD2" w:rsidRPr="00125E99">
        <w:rPr>
          <w:bCs/>
        </w:rPr>
        <w:t> </w:t>
      </w:r>
      <w:r w:rsidR="00DC66FD" w:rsidRPr="00125E99">
        <w:rPr>
          <w:bCs/>
        </w:rPr>
        <w:t>Небанківський гарант</w:t>
      </w:r>
      <w:r w:rsidR="00B457F2" w:rsidRPr="00125E99">
        <w:rPr>
          <w:bCs/>
        </w:rPr>
        <w:t>, як</w:t>
      </w:r>
      <w:r w:rsidR="00DC66FD" w:rsidRPr="00125E99">
        <w:rPr>
          <w:bCs/>
        </w:rPr>
        <w:t>ий</w:t>
      </w:r>
      <w:r w:rsidR="00B457F2" w:rsidRPr="00125E99">
        <w:rPr>
          <w:bCs/>
        </w:rPr>
        <w:t xml:space="preserve"> є небанківським надавачем фінансових платіжних послуг, зобов’язан</w:t>
      </w:r>
      <w:r w:rsidR="00DC66FD" w:rsidRPr="00125E99">
        <w:rPr>
          <w:bCs/>
        </w:rPr>
        <w:t>ий</w:t>
      </w:r>
      <w:r w:rsidR="00B457F2" w:rsidRPr="00125E99">
        <w:rPr>
          <w:bCs/>
        </w:rPr>
        <w:t xml:space="preserve"> дотримуватися вимог цього Положення, а також </w:t>
      </w:r>
      <w:proofErr w:type="spellStart"/>
      <w:r w:rsidR="00B457F2" w:rsidRPr="00125E99">
        <w:rPr>
          <w:bCs/>
        </w:rPr>
        <w:t>пруденційних</w:t>
      </w:r>
      <w:proofErr w:type="spellEnd"/>
      <w:r w:rsidR="00B457F2" w:rsidRPr="00125E99">
        <w:rPr>
          <w:bCs/>
        </w:rPr>
        <w:t xml:space="preserve"> нормативів, визначен</w:t>
      </w:r>
      <w:r w:rsidR="005E4CAB" w:rsidRPr="00125E99">
        <w:rPr>
          <w:bCs/>
        </w:rPr>
        <w:t>их</w:t>
      </w:r>
      <w:r w:rsidR="00B457F2" w:rsidRPr="00125E99">
        <w:rPr>
          <w:bCs/>
        </w:rPr>
        <w:t xml:space="preserve"> нормативно-правовим актом Національного банку України (далі – Національний банк) з питань </w:t>
      </w:r>
      <w:r w:rsidR="00357213" w:rsidRPr="00125E99">
        <w:rPr>
          <w:bCs/>
        </w:rPr>
        <w:t xml:space="preserve">встановлення </w:t>
      </w:r>
      <w:proofErr w:type="spellStart"/>
      <w:r w:rsidR="00357213" w:rsidRPr="00125E99">
        <w:rPr>
          <w:bCs/>
        </w:rPr>
        <w:t>пруденційних</w:t>
      </w:r>
      <w:proofErr w:type="spellEnd"/>
      <w:r w:rsidR="00357213" w:rsidRPr="00125E99">
        <w:rPr>
          <w:bCs/>
        </w:rPr>
        <w:t xml:space="preserve"> нормативів, що є обов'язковими для дотримання небанківськими надавачами платіжних послуг</w:t>
      </w:r>
      <w:r w:rsidR="00B457F2" w:rsidRPr="00125E99">
        <w:rPr>
          <w:bCs/>
        </w:rPr>
        <w:t>.</w:t>
      </w:r>
    </w:p>
    <w:p w14:paraId="286733AF" w14:textId="77777777" w:rsidR="00B457F2" w:rsidRPr="00125E99" w:rsidRDefault="00B457F2" w:rsidP="002B6A3D">
      <w:pPr>
        <w:pStyle w:val="afb"/>
        <w:tabs>
          <w:tab w:val="left" w:pos="993"/>
        </w:tabs>
        <w:ind w:left="0" w:firstLine="567"/>
        <w:rPr>
          <w:bCs/>
        </w:rPr>
      </w:pPr>
    </w:p>
    <w:p w14:paraId="1A369984" w14:textId="03C09AF0" w:rsidR="00B457F2" w:rsidRPr="00125E99" w:rsidRDefault="00386330" w:rsidP="002B6A3D">
      <w:pPr>
        <w:pStyle w:val="afb"/>
        <w:tabs>
          <w:tab w:val="left" w:pos="993"/>
        </w:tabs>
        <w:ind w:left="0" w:firstLine="567"/>
      </w:pPr>
      <w:r w:rsidRPr="00125E99">
        <w:rPr>
          <w:bCs/>
        </w:rPr>
        <w:t>6</w:t>
      </w:r>
      <w:r w:rsidR="00B457F2" w:rsidRPr="00125E99">
        <w:rPr>
          <w:bCs/>
        </w:rPr>
        <w:t>. </w:t>
      </w:r>
      <w:r w:rsidR="00DC66FD" w:rsidRPr="00125E99">
        <w:t>Небанківський гарант</w:t>
      </w:r>
      <w:r w:rsidR="00F36AF6" w:rsidRPr="00125E99">
        <w:t xml:space="preserve"> </w:t>
      </w:r>
      <w:r w:rsidR="00B457F2" w:rsidRPr="00125E99">
        <w:t>зобов’язан</w:t>
      </w:r>
      <w:r w:rsidR="00DC66FD" w:rsidRPr="00125E99">
        <w:t>ий</w:t>
      </w:r>
      <w:r w:rsidR="00B457F2" w:rsidRPr="00125E99">
        <w:t xml:space="preserve"> надавати Національному банку</w:t>
      </w:r>
      <w:r w:rsidR="00A50E68" w:rsidRPr="00125E99">
        <w:t xml:space="preserve"> згідно зі статтею 57 Закону України “Про Національний банк України”, статями 46 та 47 Закону про фінансові послуги </w:t>
      </w:r>
      <w:r w:rsidR="00A50E68" w:rsidRPr="00125E99">
        <w:rPr>
          <w:shd w:val="clear" w:color="auto" w:fill="FFFFFF"/>
        </w:rPr>
        <w:t xml:space="preserve">інформацію/пояснення/документи/копії документів щодо дотримання </w:t>
      </w:r>
      <w:r w:rsidR="00A50E68" w:rsidRPr="00125E99">
        <w:t>вимог цього Положення в порядку, установленому нормативно-правовими актами Національного банку з питань</w:t>
      </w:r>
      <w:r w:rsidR="0076632E" w:rsidRPr="00125E99">
        <w:t xml:space="preserve"> </w:t>
      </w:r>
      <w:r w:rsidR="00B457F2" w:rsidRPr="00125E99">
        <w:t>здійснення безвиїзного нагляду або</w:t>
      </w:r>
      <w:r w:rsidR="0076632E" w:rsidRPr="00125E99">
        <w:t xml:space="preserve"> </w:t>
      </w:r>
      <w:r w:rsidR="00B457F2" w:rsidRPr="00125E99">
        <w:rPr>
          <w:shd w:val="clear" w:color="auto" w:fill="FFFFFF"/>
        </w:rPr>
        <w:t>проведення інспекційних перевірок діяльності учасників ринків небанківських фінансових послуг</w:t>
      </w:r>
      <w:r w:rsidR="00B457F2" w:rsidRPr="00125E99">
        <w:t>.</w:t>
      </w:r>
    </w:p>
    <w:p w14:paraId="3BAC27BB" w14:textId="1B005501" w:rsidR="00B457F2" w:rsidRPr="00125E99" w:rsidRDefault="00A46048" w:rsidP="002B6A3D">
      <w:pPr>
        <w:pStyle w:val="afb"/>
        <w:tabs>
          <w:tab w:val="left" w:pos="993"/>
        </w:tabs>
        <w:ind w:left="0" w:firstLine="567"/>
        <w:rPr>
          <w:shd w:val="clear" w:color="auto" w:fill="FFFFFF"/>
        </w:rPr>
      </w:pPr>
      <w:r w:rsidRPr="00125E99">
        <w:t xml:space="preserve">Небанківський гарант надає Національному банку </w:t>
      </w:r>
      <w:r w:rsidRPr="00125E99">
        <w:rPr>
          <w:shd w:val="clear" w:color="auto" w:fill="FFFFFF"/>
        </w:rPr>
        <w:t xml:space="preserve">інформація/пояснення/документи/копії документів щодо дотримання </w:t>
      </w:r>
      <w:r w:rsidRPr="00125E99">
        <w:t xml:space="preserve">вимог цього Положення </w:t>
      </w:r>
      <w:r w:rsidRPr="00125E99">
        <w:rPr>
          <w:shd w:val="clear" w:color="auto" w:fill="FFFFFF"/>
        </w:rPr>
        <w:t xml:space="preserve">станом </w:t>
      </w:r>
      <w:r w:rsidRPr="00125E99">
        <w:t xml:space="preserve">на дату розрахунку </w:t>
      </w:r>
      <w:proofErr w:type="spellStart"/>
      <w:r w:rsidRPr="00125E99">
        <w:t>пруденційних</w:t>
      </w:r>
      <w:proofErr w:type="spellEnd"/>
      <w:r w:rsidRPr="00125E99">
        <w:t xml:space="preserve"> вимог, що зазначена у письмовій </w:t>
      </w:r>
      <w:proofErr w:type="spellStart"/>
      <w:r w:rsidRPr="00125E99">
        <w:t>вимозі</w:t>
      </w:r>
      <w:proofErr w:type="spellEnd"/>
      <w:r w:rsidRPr="00125E99">
        <w:t>/</w:t>
      </w:r>
      <w:r w:rsidRPr="00125E99">
        <w:rPr>
          <w:color w:val="000000"/>
        </w:rPr>
        <w:t>запиті на отримання інформації</w:t>
      </w:r>
      <w:r w:rsidRPr="00125E99">
        <w:t xml:space="preserve"> Національного банку, </w:t>
      </w:r>
      <w:r w:rsidRPr="00125E99">
        <w:lastRenderedPageBreak/>
        <w:t xml:space="preserve">складеній/складеному згідно з вимогами нормативно-правових актів Національного банку з питань здійснення безвиїзного нагляду  або </w:t>
      </w:r>
      <w:r w:rsidRPr="00125E99">
        <w:rPr>
          <w:shd w:val="clear" w:color="auto" w:fill="FFFFFF"/>
        </w:rPr>
        <w:t>проведення інспекційних перевірок діяльності учасників ринків небанківських фінансових послуг.</w:t>
      </w:r>
    </w:p>
    <w:p w14:paraId="06D5F3CE" w14:textId="77777777" w:rsidR="00A46048" w:rsidRPr="00125E99" w:rsidRDefault="00A46048" w:rsidP="002B6A3D">
      <w:pPr>
        <w:pStyle w:val="afb"/>
        <w:tabs>
          <w:tab w:val="left" w:pos="993"/>
        </w:tabs>
        <w:ind w:left="0" w:firstLine="567"/>
      </w:pPr>
    </w:p>
    <w:p w14:paraId="2D18B150" w14:textId="56E8883D" w:rsidR="005D395A" w:rsidRPr="00125E99" w:rsidRDefault="00386330" w:rsidP="002B6A3D">
      <w:pPr>
        <w:pStyle w:val="afb"/>
        <w:tabs>
          <w:tab w:val="left" w:pos="993"/>
        </w:tabs>
        <w:ind w:left="0" w:firstLine="567"/>
        <w:rPr>
          <w:bCs/>
        </w:rPr>
      </w:pPr>
      <w:r w:rsidRPr="00125E99">
        <w:t>7</w:t>
      </w:r>
      <w:r w:rsidR="00B457F2" w:rsidRPr="00125E99">
        <w:t>.</w:t>
      </w:r>
      <w:r w:rsidR="005F498E" w:rsidRPr="00125E99">
        <w:t> </w:t>
      </w:r>
      <w:r w:rsidR="003D1E2F" w:rsidRPr="00125E99">
        <w:t>Небанківський гарант</w:t>
      </w:r>
      <w:r w:rsidR="00F36AF6" w:rsidRPr="00125E99">
        <w:t xml:space="preserve"> </w:t>
      </w:r>
      <w:r w:rsidR="00B457F2" w:rsidRPr="00125E99">
        <w:t>за надання Національному банку недостовірної інформації щодо дотримання вимог цього Положення несе відповідальність згідно з вимогами чинного законодавства України.</w:t>
      </w:r>
    </w:p>
    <w:p w14:paraId="19E2B6AD" w14:textId="3869C4CC" w:rsidR="00B457F2" w:rsidRPr="00125E99" w:rsidRDefault="00B457F2" w:rsidP="002B6A3D">
      <w:pPr>
        <w:shd w:val="clear" w:color="auto" w:fill="FFFFFF"/>
        <w:tabs>
          <w:tab w:val="left" w:pos="709"/>
          <w:tab w:val="left" w:pos="993"/>
        </w:tabs>
        <w:ind w:firstLine="567"/>
      </w:pPr>
      <w:bookmarkStart w:id="1" w:name="bookmark=id.34g0dwd" w:colFirst="0" w:colLast="0"/>
      <w:bookmarkStart w:id="2" w:name="n3238"/>
      <w:bookmarkStart w:id="3" w:name="bookmark=id.1jlao46" w:colFirst="0" w:colLast="0"/>
      <w:bookmarkStart w:id="4" w:name="bookmark=id.43ky6rz" w:colFirst="0" w:colLast="0"/>
      <w:bookmarkEnd w:id="1"/>
      <w:bookmarkEnd w:id="2"/>
      <w:bookmarkEnd w:id="3"/>
      <w:bookmarkEnd w:id="4"/>
    </w:p>
    <w:p w14:paraId="62078F3A" w14:textId="179ED554" w:rsidR="00BE3E3B" w:rsidRPr="00125E99" w:rsidRDefault="00BE3E3B" w:rsidP="002B6A3D">
      <w:pPr>
        <w:pStyle w:val="afc"/>
        <w:ind w:firstLine="567"/>
        <w:rPr>
          <w:sz w:val="28"/>
          <w:szCs w:val="28"/>
        </w:rPr>
      </w:pPr>
      <w:r w:rsidRPr="00125E99">
        <w:rPr>
          <w:sz w:val="28"/>
          <w:szCs w:val="28"/>
        </w:rPr>
        <w:t>8. Небанківський гарант</w:t>
      </w:r>
      <w:r w:rsidRPr="00125E99" w:rsidDel="00DA6C26">
        <w:rPr>
          <w:sz w:val="28"/>
          <w:szCs w:val="28"/>
        </w:rPr>
        <w:t xml:space="preserve"> </w:t>
      </w:r>
      <w:r w:rsidRPr="00125E99">
        <w:rPr>
          <w:sz w:val="28"/>
          <w:szCs w:val="28"/>
        </w:rPr>
        <w:t xml:space="preserve">зобов’язаний щодня, станом на будь-яку дату протягом всього строку дії ліцензії на діяльність фінансової компанії, до якої включено право на </w:t>
      </w:r>
      <w:r w:rsidR="009F1534" w:rsidRPr="00125E99">
        <w:rPr>
          <w:sz w:val="28"/>
          <w:szCs w:val="28"/>
        </w:rPr>
        <w:t>здійснення</w:t>
      </w:r>
      <w:r w:rsidR="003968FD" w:rsidRPr="00125E99">
        <w:rPr>
          <w:sz w:val="28"/>
          <w:szCs w:val="28"/>
        </w:rPr>
        <w:t xml:space="preserve"> </w:t>
      </w:r>
      <w:r w:rsidRPr="00125E99">
        <w:rPr>
          <w:sz w:val="28"/>
          <w:szCs w:val="28"/>
        </w:rPr>
        <w:t xml:space="preserve">діяльності з надання гарантій (далі – ліцензія), дотримуватися таких </w:t>
      </w:r>
      <w:proofErr w:type="spellStart"/>
      <w:r w:rsidRPr="00125E99">
        <w:rPr>
          <w:sz w:val="28"/>
          <w:szCs w:val="28"/>
        </w:rPr>
        <w:t>пруденційних</w:t>
      </w:r>
      <w:proofErr w:type="spellEnd"/>
      <w:r w:rsidRPr="00125E99">
        <w:rPr>
          <w:sz w:val="28"/>
          <w:szCs w:val="28"/>
        </w:rPr>
        <w:t xml:space="preserve"> вимог:</w:t>
      </w:r>
    </w:p>
    <w:p w14:paraId="6027A211" w14:textId="48C4F55F" w:rsidR="00BE3E3B" w:rsidRPr="00125E99" w:rsidRDefault="00BE3E3B" w:rsidP="00BE3E3B">
      <w:pPr>
        <w:pStyle w:val="afc"/>
        <w:tabs>
          <w:tab w:val="left" w:pos="709"/>
          <w:tab w:val="left" w:pos="993"/>
          <w:tab w:val="left" w:pos="1134"/>
          <w:tab w:val="left" w:pos="1276"/>
        </w:tabs>
        <w:rPr>
          <w:sz w:val="28"/>
          <w:szCs w:val="28"/>
        </w:rPr>
      </w:pPr>
    </w:p>
    <w:p w14:paraId="6B814568" w14:textId="77777777" w:rsidR="00BE3E3B" w:rsidRPr="00125E99" w:rsidRDefault="00BE3E3B" w:rsidP="00125E99">
      <w:pPr>
        <w:pStyle w:val="afc"/>
        <w:numPr>
          <w:ilvl w:val="0"/>
          <w:numId w:val="11"/>
        </w:numPr>
        <w:tabs>
          <w:tab w:val="left" w:pos="709"/>
          <w:tab w:val="left" w:pos="851"/>
          <w:tab w:val="left" w:pos="993"/>
          <w:tab w:val="left" w:pos="1276"/>
        </w:tabs>
        <w:ind w:left="0" w:firstLine="567"/>
        <w:rPr>
          <w:sz w:val="28"/>
          <w:szCs w:val="28"/>
        </w:rPr>
      </w:pPr>
      <w:r w:rsidRPr="00125E99">
        <w:rPr>
          <w:sz w:val="28"/>
          <w:szCs w:val="28"/>
        </w:rPr>
        <w:t>утримувати не менше ніж 50 відсотків від мінімального розміру власного капіталу в таких активах:</w:t>
      </w:r>
    </w:p>
    <w:p w14:paraId="5950A1D0" w14:textId="77777777" w:rsidR="00BE3E3B" w:rsidRPr="00125E99" w:rsidRDefault="00BE3E3B" w:rsidP="002B6A3D">
      <w:pPr>
        <w:pStyle w:val="afc"/>
        <w:tabs>
          <w:tab w:val="left" w:pos="709"/>
          <w:tab w:val="left" w:pos="993"/>
        </w:tabs>
        <w:ind w:firstLine="567"/>
        <w:rPr>
          <w:sz w:val="28"/>
          <w:szCs w:val="28"/>
        </w:rPr>
      </w:pPr>
      <w:r w:rsidRPr="00125E99">
        <w:rPr>
          <w:sz w:val="28"/>
          <w:szCs w:val="28"/>
        </w:rPr>
        <w:t>грошові кошти та їх еквіваленти (за винятком сум, що стосуються коштів, використання яких обмежено, та/або за виключенням грошових коштів на рахунках у банках, що віднесені до категорії неплатоспроможних) та/або;</w:t>
      </w:r>
    </w:p>
    <w:p w14:paraId="055C8C4C" w14:textId="77777777" w:rsidR="00BE3E3B" w:rsidRPr="00125E99" w:rsidRDefault="00BE3E3B" w:rsidP="002B6A3D">
      <w:pPr>
        <w:pStyle w:val="afc"/>
        <w:tabs>
          <w:tab w:val="left" w:pos="709"/>
          <w:tab w:val="left" w:pos="993"/>
        </w:tabs>
        <w:ind w:firstLine="567"/>
        <w:rPr>
          <w:sz w:val="28"/>
          <w:szCs w:val="28"/>
        </w:rPr>
      </w:pPr>
      <w:r w:rsidRPr="00125E99">
        <w:rPr>
          <w:sz w:val="28"/>
          <w:szCs w:val="28"/>
        </w:rPr>
        <w:t xml:space="preserve">боргові цінні папери (державні облігації України, облігації місцевих позик, облігації міжнародних фінансових організацій), що перебувають в біржовому списку </w:t>
      </w:r>
      <w:r w:rsidRPr="00125E99">
        <w:t>(</w:t>
      </w:r>
      <w:r w:rsidRPr="00125E99">
        <w:rPr>
          <w:sz w:val="28"/>
          <w:szCs w:val="28"/>
        </w:rPr>
        <w:t>за винятком боргових цінних паперів, використання яких обмежено);</w:t>
      </w:r>
    </w:p>
    <w:p w14:paraId="4A7EEA05" w14:textId="77777777" w:rsidR="00BE3E3B" w:rsidRPr="00125E99" w:rsidRDefault="00BE3E3B" w:rsidP="002B6A3D">
      <w:pPr>
        <w:pStyle w:val="afc"/>
        <w:tabs>
          <w:tab w:val="left" w:pos="709"/>
          <w:tab w:val="left" w:pos="993"/>
          <w:tab w:val="left" w:pos="1134"/>
          <w:tab w:val="left" w:pos="1276"/>
        </w:tabs>
        <w:ind w:firstLine="567"/>
        <w:rPr>
          <w:sz w:val="28"/>
          <w:szCs w:val="28"/>
        </w:rPr>
      </w:pPr>
    </w:p>
    <w:p w14:paraId="01E49451" w14:textId="6249FF4B" w:rsidR="00BE3E3B" w:rsidRPr="00125E99" w:rsidRDefault="00AD3E92" w:rsidP="002B6A3D">
      <w:pPr>
        <w:pStyle w:val="afc"/>
        <w:tabs>
          <w:tab w:val="left" w:pos="993"/>
          <w:tab w:val="left" w:pos="1134"/>
          <w:tab w:val="left" w:pos="1276"/>
        </w:tabs>
        <w:ind w:firstLine="567"/>
      </w:pPr>
      <w:r w:rsidRPr="00125E99">
        <w:rPr>
          <w:sz w:val="28"/>
          <w:szCs w:val="28"/>
        </w:rPr>
        <w:t>2</w:t>
      </w:r>
      <w:r w:rsidR="00BE3E3B" w:rsidRPr="00125E99">
        <w:rPr>
          <w:sz w:val="28"/>
          <w:szCs w:val="28"/>
        </w:rPr>
        <w:t xml:space="preserve">) виконувати </w:t>
      </w:r>
      <w:proofErr w:type="spellStart"/>
      <w:r w:rsidR="00BE3E3B" w:rsidRPr="00125E99">
        <w:rPr>
          <w:sz w:val="28"/>
          <w:szCs w:val="28"/>
        </w:rPr>
        <w:t>пруденційні</w:t>
      </w:r>
      <w:proofErr w:type="spellEnd"/>
      <w:r w:rsidR="00BE3E3B" w:rsidRPr="00125E99">
        <w:rPr>
          <w:sz w:val="28"/>
          <w:szCs w:val="28"/>
        </w:rPr>
        <w:t xml:space="preserve"> нормативи</w:t>
      </w:r>
      <w:r w:rsidR="001323FB" w:rsidRPr="00125E99">
        <w:rPr>
          <w:sz w:val="28"/>
          <w:szCs w:val="28"/>
        </w:rPr>
        <w:t>, передбач</w:t>
      </w:r>
      <w:r w:rsidR="009A0DD0" w:rsidRPr="00125E99">
        <w:rPr>
          <w:sz w:val="28"/>
          <w:szCs w:val="28"/>
        </w:rPr>
        <w:t>ені цим Положенням</w:t>
      </w:r>
      <w:r w:rsidR="00BE3E3B" w:rsidRPr="00125E99">
        <w:rPr>
          <w:sz w:val="28"/>
          <w:szCs w:val="28"/>
        </w:rPr>
        <w:t>.</w:t>
      </w:r>
    </w:p>
    <w:p w14:paraId="09E183EB" w14:textId="77777777" w:rsidR="00BE3E3B" w:rsidRPr="00125E99" w:rsidRDefault="00BE3E3B" w:rsidP="002B6A3D">
      <w:pPr>
        <w:pStyle w:val="afc"/>
        <w:tabs>
          <w:tab w:val="left" w:pos="709"/>
          <w:tab w:val="left" w:pos="851"/>
          <w:tab w:val="left" w:pos="1276"/>
        </w:tabs>
        <w:ind w:left="709" w:firstLine="567"/>
        <w:rPr>
          <w:sz w:val="28"/>
          <w:szCs w:val="28"/>
        </w:rPr>
      </w:pPr>
    </w:p>
    <w:p w14:paraId="0B3A02FD" w14:textId="4297CF60" w:rsidR="007F2E2F" w:rsidRPr="00125E99" w:rsidRDefault="00DA6C26" w:rsidP="002B6A3D">
      <w:pPr>
        <w:pStyle w:val="afc"/>
        <w:numPr>
          <w:ilvl w:val="0"/>
          <w:numId w:val="26"/>
        </w:numPr>
        <w:tabs>
          <w:tab w:val="left" w:pos="709"/>
          <w:tab w:val="left" w:pos="851"/>
          <w:tab w:val="left" w:pos="993"/>
          <w:tab w:val="left" w:pos="1276"/>
        </w:tabs>
        <w:ind w:left="0" w:firstLine="567"/>
        <w:rPr>
          <w:sz w:val="28"/>
          <w:szCs w:val="28"/>
        </w:rPr>
      </w:pPr>
      <w:r w:rsidRPr="00125E99">
        <w:rPr>
          <w:sz w:val="28"/>
          <w:szCs w:val="28"/>
        </w:rPr>
        <w:t xml:space="preserve">Небанківський гарант </w:t>
      </w:r>
      <w:r w:rsidR="00B457F2" w:rsidRPr="00125E99">
        <w:rPr>
          <w:sz w:val="28"/>
          <w:szCs w:val="28"/>
        </w:rPr>
        <w:t>зобов’язан</w:t>
      </w:r>
      <w:r w:rsidRPr="00125E99">
        <w:rPr>
          <w:sz w:val="28"/>
          <w:szCs w:val="28"/>
        </w:rPr>
        <w:t>ий</w:t>
      </w:r>
      <w:r w:rsidR="00972F79" w:rsidRPr="00125E99">
        <w:rPr>
          <w:sz w:val="28"/>
          <w:szCs w:val="28"/>
        </w:rPr>
        <w:t xml:space="preserve"> </w:t>
      </w:r>
      <w:r w:rsidR="000D50BC" w:rsidRPr="00125E99">
        <w:rPr>
          <w:sz w:val="28"/>
          <w:szCs w:val="28"/>
        </w:rPr>
        <w:t>щодня, станом на будь-яку дату</w:t>
      </w:r>
      <w:r w:rsidR="0003179A" w:rsidRPr="00125E99">
        <w:rPr>
          <w:sz w:val="28"/>
          <w:szCs w:val="28"/>
        </w:rPr>
        <w:t xml:space="preserve"> протягом всього строку дії ліцензії</w:t>
      </w:r>
      <w:r w:rsidR="00BE3E3B" w:rsidRPr="00125E99">
        <w:rPr>
          <w:sz w:val="28"/>
          <w:szCs w:val="28"/>
        </w:rPr>
        <w:t>,</w:t>
      </w:r>
      <w:r w:rsidR="0003179A" w:rsidRPr="00125E99">
        <w:rPr>
          <w:sz w:val="28"/>
          <w:szCs w:val="28"/>
        </w:rPr>
        <w:t xml:space="preserve"> </w:t>
      </w:r>
      <w:r w:rsidR="00137503" w:rsidRPr="00125E99">
        <w:rPr>
          <w:sz w:val="28"/>
          <w:szCs w:val="28"/>
        </w:rPr>
        <w:t>розраховувати</w:t>
      </w:r>
      <w:r w:rsidR="002009E0" w:rsidRPr="00125E99">
        <w:rPr>
          <w:sz w:val="28"/>
          <w:szCs w:val="28"/>
        </w:rPr>
        <w:t xml:space="preserve"> на підставі </w:t>
      </w:r>
      <w:r w:rsidR="002009E0" w:rsidRPr="00125E99">
        <w:rPr>
          <w:sz w:val="28"/>
          <w:szCs w:val="28"/>
          <w:shd w:val="clear" w:color="auto" w:fill="FFFFFF"/>
        </w:rPr>
        <w:t xml:space="preserve">даних бухгалтерського обліку, облікової та </w:t>
      </w:r>
      <w:proofErr w:type="spellStart"/>
      <w:r w:rsidR="002009E0" w:rsidRPr="00125E99">
        <w:rPr>
          <w:sz w:val="28"/>
          <w:szCs w:val="28"/>
          <w:shd w:val="clear" w:color="auto" w:fill="FFFFFF"/>
        </w:rPr>
        <w:t>реєструючої</w:t>
      </w:r>
      <w:proofErr w:type="spellEnd"/>
      <w:r w:rsidR="002009E0" w:rsidRPr="00125E99">
        <w:rPr>
          <w:sz w:val="28"/>
          <w:szCs w:val="28"/>
          <w:shd w:val="clear" w:color="auto" w:fill="FFFFFF"/>
        </w:rPr>
        <w:t xml:space="preserve"> систем </w:t>
      </w:r>
      <w:r w:rsidR="002009E0" w:rsidRPr="00125E99">
        <w:rPr>
          <w:sz w:val="28"/>
          <w:szCs w:val="28"/>
        </w:rPr>
        <w:t>небанківського гаранта</w:t>
      </w:r>
      <w:r w:rsidR="007F2E2F" w:rsidRPr="00125E99">
        <w:rPr>
          <w:sz w:val="28"/>
          <w:szCs w:val="28"/>
        </w:rPr>
        <w:t>:</w:t>
      </w:r>
    </w:p>
    <w:p w14:paraId="2B6F1A81" w14:textId="77777777" w:rsidR="00CB3F89" w:rsidRPr="00125E99" w:rsidRDefault="00CB3F89" w:rsidP="002B6A3D">
      <w:pPr>
        <w:pStyle w:val="afc"/>
        <w:tabs>
          <w:tab w:val="left" w:pos="709"/>
          <w:tab w:val="left" w:pos="851"/>
          <w:tab w:val="left" w:pos="1276"/>
        </w:tabs>
        <w:ind w:left="709" w:firstLine="567"/>
        <w:rPr>
          <w:sz w:val="28"/>
          <w:szCs w:val="28"/>
        </w:rPr>
      </w:pPr>
    </w:p>
    <w:p w14:paraId="31BE3640" w14:textId="170393BC" w:rsidR="00972F79" w:rsidRPr="00125E99" w:rsidRDefault="00CE40CA" w:rsidP="002B6A3D">
      <w:pPr>
        <w:pStyle w:val="afc"/>
        <w:numPr>
          <w:ilvl w:val="0"/>
          <w:numId w:val="25"/>
        </w:numPr>
        <w:tabs>
          <w:tab w:val="left" w:pos="851"/>
          <w:tab w:val="left" w:pos="1134"/>
          <w:tab w:val="left" w:pos="6379"/>
        </w:tabs>
        <w:ind w:left="0" w:firstLine="567"/>
        <w:rPr>
          <w:sz w:val="28"/>
          <w:szCs w:val="28"/>
        </w:rPr>
      </w:pPr>
      <w:r w:rsidRPr="00125E99">
        <w:rPr>
          <w:sz w:val="28"/>
          <w:szCs w:val="28"/>
        </w:rPr>
        <w:t>частку активів</w:t>
      </w:r>
      <w:r w:rsidR="00972F79" w:rsidRPr="00125E99">
        <w:rPr>
          <w:sz w:val="28"/>
          <w:szCs w:val="28"/>
        </w:rPr>
        <w:t xml:space="preserve">, </w:t>
      </w:r>
      <w:r w:rsidRPr="00125E99">
        <w:rPr>
          <w:sz w:val="28"/>
          <w:szCs w:val="28"/>
        </w:rPr>
        <w:t>що зазначені</w:t>
      </w:r>
      <w:r w:rsidR="00972F79" w:rsidRPr="00125E99">
        <w:rPr>
          <w:sz w:val="28"/>
          <w:szCs w:val="28"/>
        </w:rPr>
        <w:t xml:space="preserve"> в </w:t>
      </w:r>
      <w:r w:rsidR="00A44B01" w:rsidRPr="00125E99">
        <w:rPr>
          <w:sz w:val="28"/>
          <w:szCs w:val="28"/>
        </w:rPr>
        <w:t xml:space="preserve">підпункті </w:t>
      </w:r>
      <w:r w:rsidR="007A1CEA" w:rsidRPr="00125E99">
        <w:rPr>
          <w:sz w:val="28"/>
          <w:szCs w:val="28"/>
        </w:rPr>
        <w:t>1</w:t>
      </w:r>
      <w:r w:rsidR="00A44B01" w:rsidRPr="00125E99">
        <w:rPr>
          <w:sz w:val="28"/>
          <w:szCs w:val="28"/>
        </w:rPr>
        <w:t xml:space="preserve"> пункту </w:t>
      </w:r>
      <w:r w:rsidR="00152720" w:rsidRPr="00125E99">
        <w:rPr>
          <w:sz w:val="28"/>
          <w:szCs w:val="28"/>
        </w:rPr>
        <w:t>8</w:t>
      </w:r>
      <w:r w:rsidR="00972F79" w:rsidRPr="00125E99">
        <w:rPr>
          <w:sz w:val="28"/>
          <w:szCs w:val="28"/>
        </w:rPr>
        <w:t xml:space="preserve"> розділу І цього Положення</w:t>
      </w:r>
      <w:r w:rsidRPr="00125E99">
        <w:rPr>
          <w:sz w:val="28"/>
          <w:szCs w:val="28"/>
        </w:rPr>
        <w:t>, у власному капіталу небанківського гаранта</w:t>
      </w:r>
      <w:r w:rsidR="008F4E7A" w:rsidRPr="00125E99">
        <w:rPr>
          <w:sz w:val="28"/>
          <w:szCs w:val="28"/>
        </w:rPr>
        <w:t>;</w:t>
      </w:r>
    </w:p>
    <w:p w14:paraId="358A4A2D" w14:textId="77777777" w:rsidR="00025477" w:rsidRPr="00125E99" w:rsidRDefault="00025477" w:rsidP="002B6A3D">
      <w:pPr>
        <w:pStyle w:val="afc"/>
        <w:tabs>
          <w:tab w:val="left" w:pos="851"/>
          <w:tab w:val="left" w:pos="1134"/>
          <w:tab w:val="left" w:pos="6379"/>
        </w:tabs>
        <w:ind w:left="781" w:firstLine="567"/>
        <w:rPr>
          <w:sz w:val="28"/>
          <w:szCs w:val="28"/>
        </w:rPr>
      </w:pPr>
    </w:p>
    <w:p w14:paraId="439CD393" w14:textId="27FD2277" w:rsidR="008F4E7A" w:rsidRPr="00125E99" w:rsidRDefault="007F2E2F" w:rsidP="002B6A3D">
      <w:pPr>
        <w:pStyle w:val="afc"/>
        <w:numPr>
          <w:ilvl w:val="0"/>
          <w:numId w:val="25"/>
        </w:numPr>
        <w:tabs>
          <w:tab w:val="left" w:pos="851"/>
          <w:tab w:val="left" w:pos="1134"/>
          <w:tab w:val="left" w:pos="6379"/>
        </w:tabs>
        <w:ind w:left="0" w:firstLine="567"/>
        <w:rPr>
          <w:sz w:val="28"/>
          <w:szCs w:val="28"/>
        </w:rPr>
      </w:pPr>
      <w:proofErr w:type="spellStart"/>
      <w:r w:rsidRPr="00125E99">
        <w:rPr>
          <w:sz w:val="28"/>
          <w:szCs w:val="28"/>
        </w:rPr>
        <w:t>пруденційні</w:t>
      </w:r>
      <w:proofErr w:type="spellEnd"/>
      <w:r w:rsidRPr="00125E99">
        <w:rPr>
          <w:sz w:val="28"/>
          <w:szCs w:val="28"/>
        </w:rPr>
        <w:t xml:space="preserve"> нормативи, </w:t>
      </w:r>
      <w:r w:rsidR="001323FB" w:rsidRPr="00125E99">
        <w:rPr>
          <w:sz w:val="28"/>
          <w:szCs w:val="28"/>
        </w:rPr>
        <w:t xml:space="preserve">передбачені цим </w:t>
      </w:r>
      <w:r w:rsidRPr="00125E99">
        <w:rPr>
          <w:sz w:val="28"/>
          <w:szCs w:val="28"/>
        </w:rPr>
        <w:t>Положення</w:t>
      </w:r>
      <w:r w:rsidR="001323FB" w:rsidRPr="00125E99">
        <w:rPr>
          <w:sz w:val="28"/>
          <w:szCs w:val="28"/>
        </w:rPr>
        <w:t>м</w:t>
      </w:r>
      <w:r w:rsidR="00025477" w:rsidRPr="00125E99">
        <w:rPr>
          <w:sz w:val="28"/>
          <w:szCs w:val="28"/>
        </w:rPr>
        <w:t>.</w:t>
      </w:r>
    </w:p>
    <w:p w14:paraId="76493BF1" w14:textId="7296B3E0" w:rsidR="000D50BC" w:rsidRPr="00125E99" w:rsidRDefault="000D50BC" w:rsidP="002B6A3D">
      <w:pPr>
        <w:pStyle w:val="afc"/>
        <w:tabs>
          <w:tab w:val="left" w:pos="851"/>
          <w:tab w:val="left" w:pos="1276"/>
          <w:tab w:val="left" w:pos="6379"/>
        </w:tabs>
        <w:ind w:firstLine="567"/>
        <w:rPr>
          <w:sz w:val="28"/>
          <w:szCs w:val="28"/>
        </w:rPr>
      </w:pPr>
    </w:p>
    <w:p w14:paraId="075B52DD" w14:textId="3C41B5E5" w:rsidR="00FD2390" w:rsidRPr="00125E99" w:rsidRDefault="007F2E2F" w:rsidP="002B6A3D">
      <w:pPr>
        <w:pStyle w:val="afc"/>
        <w:numPr>
          <w:ilvl w:val="0"/>
          <w:numId w:val="26"/>
        </w:numPr>
        <w:tabs>
          <w:tab w:val="left" w:pos="851"/>
          <w:tab w:val="left" w:pos="993"/>
          <w:tab w:val="left" w:pos="1276"/>
          <w:tab w:val="left" w:pos="6379"/>
        </w:tabs>
        <w:ind w:left="0" w:firstLine="567"/>
        <w:rPr>
          <w:sz w:val="28"/>
          <w:szCs w:val="28"/>
        </w:rPr>
      </w:pPr>
      <w:r w:rsidRPr="00125E99">
        <w:rPr>
          <w:sz w:val="28"/>
          <w:szCs w:val="28"/>
        </w:rPr>
        <w:t>Небанківський гарант зобов’язаний:</w:t>
      </w:r>
    </w:p>
    <w:p w14:paraId="1A0E81D9" w14:textId="77777777" w:rsidR="007F2E2F" w:rsidRPr="00125E99" w:rsidRDefault="007F2E2F" w:rsidP="002B6A3D">
      <w:pPr>
        <w:pStyle w:val="afc"/>
        <w:tabs>
          <w:tab w:val="left" w:pos="993"/>
          <w:tab w:val="left" w:pos="1276"/>
          <w:tab w:val="left" w:pos="6379"/>
        </w:tabs>
        <w:ind w:left="1069" w:firstLine="567"/>
        <w:rPr>
          <w:sz w:val="28"/>
          <w:szCs w:val="28"/>
        </w:rPr>
      </w:pPr>
    </w:p>
    <w:p w14:paraId="73D0E4BA" w14:textId="7FE20F8B" w:rsidR="00FD2390" w:rsidRPr="00125E99" w:rsidRDefault="007F2E2F" w:rsidP="002B6A3D">
      <w:pPr>
        <w:pStyle w:val="afc"/>
        <w:tabs>
          <w:tab w:val="left" w:pos="6379"/>
        </w:tabs>
        <w:ind w:firstLine="567"/>
        <w:rPr>
          <w:sz w:val="28"/>
          <w:szCs w:val="28"/>
        </w:rPr>
      </w:pPr>
      <w:r w:rsidRPr="00125E99">
        <w:rPr>
          <w:sz w:val="28"/>
          <w:szCs w:val="28"/>
        </w:rPr>
        <w:t>1</w:t>
      </w:r>
      <w:r w:rsidR="00FD2390" w:rsidRPr="00125E99">
        <w:rPr>
          <w:sz w:val="28"/>
          <w:szCs w:val="28"/>
        </w:rPr>
        <w:t>) зберігати</w:t>
      </w:r>
      <w:r w:rsidR="00B96B4A" w:rsidRPr="00125E99">
        <w:rPr>
          <w:sz w:val="28"/>
          <w:szCs w:val="28"/>
        </w:rPr>
        <w:t xml:space="preserve"> в інформаційній системі небанківського гаранта </w:t>
      </w:r>
      <w:r w:rsidR="00FD2390" w:rsidRPr="00125E99">
        <w:rPr>
          <w:sz w:val="28"/>
          <w:szCs w:val="28"/>
        </w:rPr>
        <w:t>інформацію</w:t>
      </w:r>
      <w:r w:rsidR="00B96B4A" w:rsidRPr="00125E99">
        <w:rPr>
          <w:sz w:val="28"/>
          <w:szCs w:val="28"/>
        </w:rPr>
        <w:t xml:space="preserve"> про розраховані </w:t>
      </w:r>
      <w:r w:rsidR="00FD2390" w:rsidRPr="00125E99">
        <w:rPr>
          <w:sz w:val="28"/>
          <w:szCs w:val="28"/>
        </w:rPr>
        <w:t xml:space="preserve"> </w:t>
      </w:r>
      <w:r w:rsidR="00152720" w:rsidRPr="00125E99">
        <w:rPr>
          <w:sz w:val="28"/>
          <w:szCs w:val="28"/>
        </w:rPr>
        <w:t>відповідно до</w:t>
      </w:r>
      <w:r w:rsidR="00B96B4A" w:rsidRPr="00125E99">
        <w:rPr>
          <w:sz w:val="28"/>
          <w:szCs w:val="28"/>
        </w:rPr>
        <w:t xml:space="preserve"> пункту </w:t>
      </w:r>
      <w:r w:rsidR="00152720" w:rsidRPr="00125E99">
        <w:rPr>
          <w:sz w:val="28"/>
          <w:szCs w:val="28"/>
        </w:rPr>
        <w:t>9</w:t>
      </w:r>
      <w:r w:rsidR="00B96B4A" w:rsidRPr="00125E99">
        <w:rPr>
          <w:sz w:val="28"/>
          <w:szCs w:val="28"/>
        </w:rPr>
        <w:t xml:space="preserve"> розділу І цього Положення  </w:t>
      </w:r>
      <w:r w:rsidR="00A44B01" w:rsidRPr="00125E99">
        <w:rPr>
          <w:sz w:val="28"/>
          <w:szCs w:val="28"/>
        </w:rPr>
        <w:t>частку активів</w:t>
      </w:r>
      <w:r w:rsidR="00DB2A58" w:rsidRPr="00125E99">
        <w:rPr>
          <w:sz w:val="28"/>
          <w:szCs w:val="28"/>
        </w:rPr>
        <w:t xml:space="preserve">, </w:t>
      </w:r>
      <w:proofErr w:type="spellStart"/>
      <w:r w:rsidR="00B96B4A" w:rsidRPr="00125E99">
        <w:rPr>
          <w:sz w:val="28"/>
          <w:szCs w:val="28"/>
        </w:rPr>
        <w:t>пруденційні</w:t>
      </w:r>
      <w:proofErr w:type="spellEnd"/>
      <w:r w:rsidR="00B96B4A" w:rsidRPr="00125E99">
        <w:rPr>
          <w:sz w:val="28"/>
          <w:szCs w:val="28"/>
        </w:rPr>
        <w:t xml:space="preserve"> нормативи за період, що є не</w:t>
      </w:r>
      <w:r w:rsidR="00FD2390" w:rsidRPr="00125E99">
        <w:rPr>
          <w:sz w:val="28"/>
          <w:szCs w:val="28"/>
        </w:rPr>
        <w:t xml:space="preserve"> </w:t>
      </w:r>
      <w:r w:rsidR="00B96B4A" w:rsidRPr="00125E99">
        <w:rPr>
          <w:sz w:val="28"/>
          <w:szCs w:val="28"/>
        </w:rPr>
        <w:t>меншим трьох років</w:t>
      </w:r>
      <w:r w:rsidR="00FD2390" w:rsidRPr="00125E99">
        <w:rPr>
          <w:sz w:val="28"/>
          <w:szCs w:val="28"/>
        </w:rPr>
        <w:t>;</w:t>
      </w:r>
    </w:p>
    <w:p w14:paraId="1240F65B" w14:textId="77777777" w:rsidR="00EC0B91" w:rsidRPr="00125E99" w:rsidRDefault="00EC0B91" w:rsidP="002B6A3D">
      <w:pPr>
        <w:pStyle w:val="afc"/>
        <w:tabs>
          <w:tab w:val="left" w:pos="6379"/>
        </w:tabs>
        <w:ind w:firstLine="567"/>
        <w:rPr>
          <w:sz w:val="28"/>
          <w:szCs w:val="28"/>
        </w:rPr>
      </w:pPr>
    </w:p>
    <w:p w14:paraId="6A2D1EE1" w14:textId="1E7B3A37" w:rsidR="00DE580E" w:rsidRPr="00125E99" w:rsidRDefault="00A44B01" w:rsidP="002B6A3D">
      <w:pPr>
        <w:shd w:val="clear" w:color="auto" w:fill="FFFFFF"/>
        <w:tabs>
          <w:tab w:val="left" w:pos="6379"/>
        </w:tabs>
        <w:ind w:firstLine="567"/>
      </w:pPr>
      <w:r w:rsidRPr="00125E99">
        <w:lastRenderedPageBreak/>
        <w:t>2</w:t>
      </w:r>
      <w:r w:rsidR="00DE580E" w:rsidRPr="00125E99">
        <w:t xml:space="preserve">) не пізніше наступного робочого дня після дня, у якому </w:t>
      </w:r>
      <w:r w:rsidR="00DA6C26" w:rsidRPr="00125E99">
        <w:t xml:space="preserve">небанківський гарант </w:t>
      </w:r>
      <w:r w:rsidR="00DE580E" w:rsidRPr="00125E99">
        <w:t>не викона</w:t>
      </w:r>
      <w:r w:rsidR="00DA6C26" w:rsidRPr="00125E99">
        <w:t>в</w:t>
      </w:r>
      <w:r w:rsidR="00DE580E" w:rsidRPr="00125E99">
        <w:t xml:space="preserve"> </w:t>
      </w:r>
      <w:proofErr w:type="spellStart"/>
      <w:r w:rsidR="00DB2A58" w:rsidRPr="00125E99">
        <w:t>пруденційну</w:t>
      </w:r>
      <w:proofErr w:type="spellEnd"/>
      <w:r w:rsidR="00DB2A58" w:rsidRPr="00125E99">
        <w:t xml:space="preserve"> </w:t>
      </w:r>
      <w:r w:rsidR="008F4E7A" w:rsidRPr="00125E99">
        <w:t>вимог</w:t>
      </w:r>
      <w:r w:rsidR="00DB2A58" w:rsidRPr="00125E99">
        <w:t>у</w:t>
      </w:r>
      <w:r w:rsidR="00E72547" w:rsidRPr="00125E99">
        <w:t>,</w:t>
      </w:r>
      <w:r w:rsidR="00DB2A58" w:rsidRPr="00125E99">
        <w:t xml:space="preserve"> </w:t>
      </w:r>
      <w:r w:rsidR="00DE580E" w:rsidRPr="00125E99">
        <w:t xml:space="preserve">письмово повідомити Національний банк про </w:t>
      </w:r>
      <w:r w:rsidR="0080367A" w:rsidRPr="00125E99">
        <w:t xml:space="preserve">її </w:t>
      </w:r>
      <w:r w:rsidR="00DE580E" w:rsidRPr="00125E99">
        <w:t xml:space="preserve">невиконання, а також оприлюднити на власному </w:t>
      </w:r>
      <w:proofErr w:type="spellStart"/>
      <w:r w:rsidR="00DE580E" w:rsidRPr="00125E99">
        <w:t>вебсайті</w:t>
      </w:r>
      <w:proofErr w:type="spellEnd"/>
      <w:r w:rsidR="00DE580E" w:rsidRPr="00125E99">
        <w:t xml:space="preserve"> інформацію про</w:t>
      </w:r>
      <w:r w:rsidR="008F4E7A" w:rsidRPr="00125E99">
        <w:t xml:space="preserve"> </w:t>
      </w:r>
      <w:r w:rsidR="00DE580E" w:rsidRPr="00125E99">
        <w:t>невиконання</w:t>
      </w:r>
      <w:r w:rsidR="0080367A" w:rsidRPr="00125E99">
        <w:t xml:space="preserve"> </w:t>
      </w:r>
      <w:proofErr w:type="spellStart"/>
      <w:r w:rsidR="0080367A" w:rsidRPr="00125E99">
        <w:t>пруденційної</w:t>
      </w:r>
      <w:proofErr w:type="spellEnd"/>
      <w:r w:rsidR="0080367A" w:rsidRPr="00125E99">
        <w:t xml:space="preserve"> вимоги</w:t>
      </w:r>
      <w:r w:rsidR="00725CDB" w:rsidRPr="00125E99">
        <w:t>;</w:t>
      </w:r>
    </w:p>
    <w:p w14:paraId="6FF295B5" w14:textId="52CB951C" w:rsidR="00725CDB" w:rsidRPr="00125E99" w:rsidRDefault="00725CDB" w:rsidP="002B6A3D">
      <w:pPr>
        <w:shd w:val="clear" w:color="auto" w:fill="FFFFFF"/>
        <w:tabs>
          <w:tab w:val="left" w:pos="6379"/>
        </w:tabs>
        <w:ind w:firstLine="567"/>
      </w:pPr>
    </w:p>
    <w:p w14:paraId="4316F48D" w14:textId="39AF1B17" w:rsidR="00725CDB" w:rsidRPr="00125E99" w:rsidRDefault="00725CDB" w:rsidP="00125E99">
      <w:pPr>
        <w:pStyle w:val="afc"/>
        <w:tabs>
          <w:tab w:val="left" w:pos="709"/>
          <w:tab w:val="left" w:pos="851"/>
        </w:tabs>
        <w:ind w:firstLine="567"/>
        <w:rPr>
          <w:sz w:val="28"/>
        </w:rPr>
      </w:pPr>
      <w:r w:rsidRPr="00125E99">
        <w:rPr>
          <w:sz w:val="28"/>
          <w:szCs w:val="28"/>
        </w:rPr>
        <w:t>3)</w:t>
      </w:r>
      <w:r w:rsidRPr="00125E99">
        <w:rPr>
          <w:sz w:val="28"/>
        </w:rPr>
        <w:t xml:space="preserve"> мати затверджений уповноваженим на те органом управління </w:t>
      </w:r>
      <w:r w:rsidR="00546B7A" w:rsidRPr="00125E99">
        <w:rPr>
          <w:sz w:val="28"/>
        </w:rPr>
        <w:t xml:space="preserve">небанківського гаранта </w:t>
      </w:r>
      <w:r w:rsidRPr="00125E99">
        <w:rPr>
          <w:sz w:val="28"/>
        </w:rPr>
        <w:t xml:space="preserve">внутрішній документ з питань управління ризиками, які притаманні діяльності з надання гарантій та </w:t>
      </w:r>
      <w:proofErr w:type="spellStart"/>
      <w:r w:rsidRPr="00125E99">
        <w:rPr>
          <w:sz w:val="28"/>
        </w:rPr>
        <w:t>контргарантій</w:t>
      </w:r>
      <w:proofErr w:type="spellEnd"/>
      <w:r w:rsidRPr="00125E99">
        <w:rPr>
          <w:sz w:val="28"/>
        </w:rPr>
        <w:t>, а також застосовувати ефективні процедури своєчасного виявлення, оцінки, моніторингу, контролю та управління зазначеними ризиками</w:t>
      </w:r>
      <w:r w:rsidR="00A46048" w:rsidRPr="00125E99">
        <w:rPr>
          <w:sz w:val="28"/>
        </w:rPr>
        <w:t>.</w:t>
      </w:r>
    </w:p>
    <w:p w14:paraId="6724273D" w14:textId="510F504A" w:rsidR="00725CDB" w:rsidRDefault="00725CDB" w:rsidP="002B6A3D">
      <w:pPr>
        <w:shd w:val="clear" w:color="auto" w:fill="FFFFFF"/>
        <w:tabs>
          <w:tab w:val="left" w:pos="6379"/>
        </w:tabs>
        <w:ind w:firstLine="567"/>
      </w:pPr>
    </w:p>
    <w:p w14:paraId="0D6196BF" w14:textId="766CEF53" w:rsidR="00B457F2" w:rsidRPr="00125E99" w:rsidRDefault="007F2E2F" w:rsidP="002B6A3D">
      <w:pPr>
        <w:pStyle w:val="afc"/>
        <w:tabs>
          <w:tab w:val="left" w:pos="709"/>
        </w:tabs>
        <w:ind w:firstLine="567"/>
        <w:rPr>
          <w:sz w:val="28"/>
          <w:szCs w:val="28"/>
          <w:shd w:val="clear" w:color="auto" w:fill="FFFFFF"/>
        </w:rPr>
      </w:pPr>
      <w:r w:rsidRPr="00125E99">
        <w:rPr>
          <w:sz w:val="28"/>
          <w:szCs w:val="28"/>
          <w:shd w:val="clear" w:color="auto" w:fill="FFFFFF"/>
        </w:rPr>
        <w:t>1</w:t>
      </w:r>
      <w:r w:rsidR="009A3B33" w:rsidRPr="00125E99">
        <w:rPr>
          <w:sz w:val="28"/>
          <w:szCs w:val="28"/>
          <w:shd w:val="clear" w:color="auto" w:fill="FFFFFF"/>
        </w:rPr>
        <w:t>1</w:t>
      </w:r>
      <w:r w:rsidR="00B23575" w:rsidRPr="00125E99">
        <w:rPr>
          <w:sz w:val="28"/>
          <w:szCs w:val="28"/>
          <w:shd w:val="clear" w:color="auto" w:fill="FFFFFF"/>
        </w:rPr>
        <w:t xml:space="preserve">. </w:t>
      </w:r>
      <w:r w:rsidR="00B457F2" w:rsidRPr="00125E99">
        <w:rPr>
          <w:sz w:val="28"/>
          <w:szCs w:val="28"/>
          <w:shd w:val="clear" w:color="auto" w:fill="FFFFFF"/>
        </w:rPr>
        <w:t xml:space="preserve">Національний банк має право розглянути питання щодо застосовування до </w:t>
      </w:r>
      <w:r w:rsidR="00DA6C26" w:rsidRPr="00125E99">
        <w:rPr>
          <w:sz w:val="28"/>
          <w:szCs w:val="28"/>
        </w:rPr>
        <w:t>небанківського гаранта</w:t>
      </w:r>
      <w:r w:rsidR="00DA6C26" w:rsidRPr="00125E99" w:rsidDel="00DA6C26">
        <w:rPr>
          <w:sz w:val="28"/>
          <w:szCs w:val="28"/>
          <w:shd w:val="clear" w:color="auto" w:fill="FFFFFF"/>
        </w:rPr>
        <w:t xml:space="preserve"> </w:t>
      </w:r>
      <w:r w:rsidR="00B457F2" w:rsidRPr="00125E99">
        <w:rPr>
          <w:sz w:val="28"/>
          <w:szCs w:val="28"/>
          <w:shd w:val="clear" w:color="auto" w:fill="FFFFFF"/>
        </w:rPr>
        <w:t xml:space="preserve">заходів впливу згідно зі статтею 48 Закону про фінансові послуги та відповідним нормативно-правовим актом Національного банку з питань застосування заходів впливу у разі, якщо за результатами безвиїзного нагляду або інспекційної перевірки встановлено факти невиконання </w:t>
      </w:r>
      <w:r w:rsidR="00DA6C26" w:rsidRPr="00125E99">
        <w:rPr>
          <w:sz w:val="28"/>
          <w:szCs w:val="28"/>
        </w:rPr>
        <w:t xml:space="preserve">небанківським </w:t>
      </w:r>
      <w:r w:rsidR="005A3DDD" w:rsidRPr="00125E99">
        <w:rPr>
          <w:sz w:val="28"/>
          <w:szCs w:val="28"/>
        </w:rPr>
        <w:t>гарантом</w:t>
      </w:r>
      <w:r w:rsidR="005A3DDD" w:rsidRPr="00125E99" w:rsidDel="00DA6C26">
        <w:rPr>
          <w:sz w:val="28"/>
          <w:szCs w:val="28"/>
          <w:shd w:val="clear" w:color="auto" w:fill="FFFFFF"/>
        </w:rPr>
        <w:t xml:space="preserve"> </w:t>
      </w:r>
      <w:proofErr w:type="spellStart"/>
      <w:r w:rsidR="005A3DDD" w:rsidRPr="00125E99">
        <w:rPr>
          <w:sz w:val="28"/>
          <w:szCs w:val="28"/>
          <w:shd w:val="clear" w:color="auto" w:fill="FFFFFF"/>
        </w:rPr>
        <w:t>пруденційних</w:t>
      </w:r>
      <w:proofErr w:type="spellEnd"/>
      <w:r w:rsidR="00B457F2" w:rsidRPr="00125E99">
        <w:rPr>
          <w:sz w:val="28"/>
          <w:szCs w:val="28"/>
        </w:rPr>
        <w:t xml:space="preserve"> </w:t>
      </w:r>
      <w:r w:rsidR="0080367A" w:rsidRPr="00125E99">
        <w:rPr>
          <w:sz w:val="28"/>
          <w:szCs w:val="28"/>
        </w:rPr>
        <w:t>вимог</w:t>
      </w:r>
      <w:r w:rsidR="00DE580E" w:rsidRPr="00125E99">
        <w:rPr>
          <w:sz w:val="28"/>
          <w:szCs w:val="28"/>
          <w:shd w:val="clear" w:color="auto" w:fill="FFFFFF"/>
        </w:rPr>
        <w:t>, визначених у цьо</w:t>
      </w:r>
      <w:r w:rsidR="0003179A" w:rsidRPr="00125E99">
        <w:rPr>
          <w:sz w:val="28"/>
          <w:szCs w:val="28"/>
          <w:shd w:val="clear" w:color="auto" w:fill="FFFFFF"/>
        </w:rPr>
        <w:t xml:space="preserve">му </w:t>
      </w:r>
      <w:r w:rsidR="00DE580E" w:rsidRPr="00125E99">
        <w:rPr>
          <w:sz w:val="28"/>
          <w:szCs w:val="28"/>
          <w:shd w:val="clear" w:color="auto" w:fill="FFFFFF"/>
        </w:rPr>
        <w:t>Положенн</w:t>
      </w:r>
      <w:r w:rsidR="0003179A" w:rsidRPr="00125E99">
        <w:rPr>
          <w:sz w:val="28"/>
          <w:szCs w:val="28"/>
          <w:shd w:val="clear" w:color="auto" w:fill="FFFFFF"/>
        </w:rPr>
        <w:t>і</w:t>
      </w:r>
      <w:r w:rsidR="00B457F2" w:rsidRPr="00125E99">
        <w:rPr>
          <w:sz w:val="28"/>
          <w:szCs w:val="28"/>
          <w:shd w:val="clear" w:color="auto" w:fill="FFFFFF"/>
        </w:rPr>
        <w:t>.</w:t>
      </w:r>
    </w:p>
    <w:p w14:paraId="15F22713" w14:textId="77777777" w:rsidR="00386330" w:rsidRPr="00125E99" w:rsidRDefault="00386330" w:rsidP="009D6E98">
      <w:pPr>
        <w:pStyle w:val="afc"/>
        <w:tabs>
          <w:tab w:val="left" w:pos="709"/>
        </w:tabs>
        <w:rPr>
          <w:sz w:val="28"/>
          <w:szCs w:val="28"/>
          <w:shd w:val="clear" w:color="auto" w:fill="FFFFFF"/>
        </w:rPr>
      </w:pPr>
    </w:p>
    <w:p w14:paraId="5DB50F8B" w14:textId="595C254A" w:rsidR="003A1612" w:rsidRPr="00125E99" w:rsidRDefault="003A1612" w:rsidP="001D056E">
      <w:pPr>
        <w:pStyle w:val="afb"/>
        <w:shd w:val="clear" w:color="auto" w:fill="FFFFFF"/>
        <w:tabs>
          <w:tab w:val="left" w:pos="993"/>
        </w:tabs>
        <w:ind w:left="0"/>
        <w:jc w:val="center"/>
      </w:pPr>
      <w:r w:rsidRPr="00125E99">
        <w:t xml:space="preserve">ІІ. Регулятивний капітал </w:t>
      </w:r>
    </w:p>
    <w:p w14:paraId="3F0F7700" w14:textId="77777777" w:rsidR="008679A1" w:rsidRPr="00125E99" w:rsidRDefault="008679A1" w:rsidP="001D056E">
      <w:pPr>
        <w:pStyle w:val="afb"/>
        <w:shd w:val="clear" w:color="auto" w:fill="FFFFFF"/>
        <w:tabs>
          <w:tab w:val="left" w:pos="993"/>
        </w:tabs>
        <w:ind w:left="0"/>
        <w:jc w:val="center"/>
      </w:pPr>
    </w:p>
    <w:p w14:paraId="05715E4F" w14:textId="7799F06C" w:rsidR="0022779C" w:rsidRPr="00125E99" w:rsidRDefault="00386330" w:rsidP="002B6A3D">
      <w:pPr>
        <w:pStyle w:val="afc"/>
        <w:ind w:firstLine="567"/>
        <w:rPr>
          <w:sz w:val="28"/>
          <w:szCs w:val="28"/>
        </w:rPr>
      </w:pPr>
      <w:r w:rsidRPr="00125E99">
        <w:rPr>
          <w:sz w:val="28"/>
          <w:szCs w:val="28"/>
        </w:rPr>
        <w:t>1</w:t>
      </w:r>
      <w:r w:rsidR="009A3B33" w:rsidRPr="00125E99">
        <w:rPr>
          <w:sz w:val="28"/>
          <w:szCs w:val="28"/>
        </w:rPr>
        <w:t>2</w:t>
      </w:r>
      <w:r w:rsidR="009676D8" w:rsidRPr="00125E99">
        <w:rPr>
          <w:sz w:val="28"/>
          <w:szCs w:val="28"/>
        </w:rPr>
        <w:t>. Небанківський гарант розраховує РК</w:t>
      </w:r>
      <w:r w:rsidR="00A477BA" w:rsidRPr="00125E99">
        <w:rPr>
          <w:sz w:val="28"/>
          <w:szCs w:val="28"/>
        </w:rPr>
        <w:t xml:space="preserve"> </w:t>
      </w:r>
      <w:r w:rsidR="0022779C" w:rsidRPr="00125E99">
        <w:rPr>
          <w:sz w:val="28"/>
          <w:szCs w:val="28"/>
        </w:rPr>
        <w:t>за формулою</w:t>
      </w:r>
      <w:r w:rsidR="002340B3" w:rsidRPr="00125E99">
        <w:rPr>
          <w:sz w:val="28"/>
          <w:szCs w:val="28"/>
        </w:rPr>
        <w:t xml:space="preserve"> РК = ВК  – ДФІ – ІФІ – </w:t>
      </w:r>
      <w:proofErr w:type="spellStart"/>
      <w:r w:rsidR="002340B3" w:rsidRPr="00125E99">
        <w:rPr>
          <w:sz w:val="28"/>
          <w:szCs w:val="28"/>
        </w:rPr>
        <w:t>Векс</w:t>
      </w:r>
      <w:proofErr w:type="spellEnd"/>
      <w:r w:rsidR="002340B3" w:rsidRPr="00125E99">
        <w:rPr>
          <w:sz w:val="28"/>
          <w:szCs w:val="28"/>
        </w:rPr>
        <w:t xml:space="preserve"> – НА + СБ, де:</w:t>
      </w:r>
    </w:p>
    <w:p w14:paraId="248B9C14" w14:textId="77777777" w:rsidR="002340B3" w:rsidRPr="00125E99" w:rsidRDefault="002340B3" w:rsidP="002B6A3D">
      <w:pPr>
        <w:pStyle w:val="afc"/>
        <w:tabs>
          <w:tab w:val="left" w:pos="993"/>
        </w:tabs>
        <w:ind w:firstLine="567"/>
        <w:rPr>
          <w:sz w:val="28"/>
          <w:szCs w:val="28"/>
        </w:rPr>
      </w:pPr>
    </w:p>
    <w:p w14:paraId="39C90A0F" w14:textId="1C19CAF3" w:rsidR="009676D8" w:rsidRPr="00125E99" w:rsidRDefault="00856A9E" w:rsidP="002B6A3D">
      <w:pPr>
        <w:pStyle w:val="afc"/>
        <w:tabs>
          <w:tab w:val="left" w:pos="993"/>
        </w:tabs>
        <w:ind w:firstLine="567"/>
        <w:rPr>
          <w:sz w:val="28"/>
          <w:szCs w:val="28"/>
        </w:rPr>
      </w:pPr>
      <w:r w:rsidRPr="00125E99">
        <w:rPr>
          <w:sz w:val="28"/>
          <w:szCs w:val="28"/>
        </w:rPr>
        <w:t>1) ВК ‒ власний капітал небанківського гаранта;</w:t>
      </w:r>
    </w:p>
    <w:p w14:paraId="18854A4F" w14:textId="54AB72C4" w:rsidR="00856A9E" w:rsidRPr="00125E99" w:rsidRDefault="00856A9E" w:rsidP="002B6A3D">
      <w:pPr>
        <w:pStyle w:val="afc"/>
        <w:tabs>
          <w:tab w:val="left" w:pos="993"/>
        </w:tabs>
        <w:ind w:firstLine="567"/>
        <w:rPr>
          <w:sz w:val="28"/>
          <w:szCs w:val="28"/>
        </w:rPr>
      </w:pPr>
    </w:p>
    <w:p w14:paraId="505E9D46" w14:textId="1E202713" w:rsidR="00856A9E" w:rsidRPr="00125E99" w:rsidRDefault="0003019B" w:rsidP="002B6A3D">
      <w:pPr>
        <w:pStyle w:val="afc"/>
        <w:tabs>
          <w:tab w:val="left" w:pos="993"/>
        </w:tabs>
        <w:ind w:firstLine="567"/>
        <w:rPr>
          <w:sz w:val="28"/>
          <w:szCs w:val="28"/>
        </w:rPr>
      </w:pPr>
      <w:r w:rsidRPr="00125E99">
        <w:rPr>
          <w:sz w:val="28"/>
          <w:szCs w:val="28"/>
        </w:rPr>
        <w:t>2) </w:t>
      </w:r>
      <w:r w:rsidR="00856A9E" w:rsidRPr="00125E99">
        <w:rPr>
          <w:sz w:val="28"/>
          <w:szCs w:val="28"/>
        </w:rPr>
        <w:t>ДФІ ‒ довгострокові фінансові інвестиції, які обліковуються за методом участі в капіталі інших підприємств;</w:t>
      </w:r>
    </w:p>
    <w:p w14:paraId="1E542103" w14:textId="3BF4E396" w:rsidR="002340B3" w:rsidRPr="00125E99" w:rsidRDefault="002340B3" w:rsidP="002B6A3D">
      <w:pPr>
        <w:pStyle w:val="afc"/>
        <w:tabs>
          <w:tab w:val="left" w:pos="993"/>
        </w:tabs>
        <w:ind w:firstLine="567"/>
        <w:rPr>
          <w:sz w:val="28"/>
          <w:szCs w:val="28"/>
        </w:rPr>
      </w:pPr>
    </w:p>
    <w:p w14:paraId="3CCBC018" w14:textId="5CBA67EA" w:rsidR="002340B3" w:rsidRPr="00125E99" w:rsidRDefault="002340B3" w:rsidP="002B6A3D">
      <w:pPr>
        <w:pStyle w:val="afc"/>
        <w:numPr>
          <w:ilvl w:val="0"/>
          <w:numId w:val="11"/>
        </w:numPr>
        <w:tabs>
          <w:tab w:val="left" w:pos="851"/>
        </w:tabs>
        <w:ind w:left="0" w:firstLine="567"/>
        <w:rPr>
          <w:sz w:val="28"/>
          <w:szCs w:val="28"/>
        </w:rPr>
      </w:pPr>
      <w:r w:rsidRPr="00125E99">
        <w:rPr>
          <w:sz w:val="28"/>
          <w:szCs w:val="28"/>
        </w:rPr>
        <w:t>ІФІ – інші фінансові інвестиції;</w:t>
      </w:r>
    </w:p>
    <w:p w14:paraId="16C8689B" w14:textId="77777777" w:rsidR="00856A9E" w:rsidRPr="00125E99" w:rsidRDefault="00856A9E" w:rsidP="002B6A3D">
      <w:pPr>
        <w:pStyle w:val="afc"/>
        <w:tabs>
          <w:tab w:val="left" w:pos="851"/>
        </w:tabs>
        <w:ind w:firstLine="567"/>
        <w:rPr>
          <w:sz w:val="28"/>
          <w:szCs w:val="28"/>
        </w:rPr>
      </w:pPr>
    </w:p>
    <w:p w14:paraId="49254034" w14:textId="6D633B56" w:rsidR="00856A9E" w:rsidRPr="00125E99" w:rsidRDefault="00856A9E" w:rsidP="002B6A3D">
      <w:pPr>
        <w:pStyle w:val="afc"/>
        <w:numPr>
          <w:ilvl w:val="0"/>
          <w:numId w:val="11"/>
        </w:numPr>
        <w:tabs>
          <w:tab w:val="left" w:pos="851"/>
        </w:tabs>
        <w:ind w:left="0" w:firstLine="567"/>
        <w:rPr>
          <w:sz w:val="28"/>
          <w:szCs w:val="28"/>
        </w:rPr>
      </w:pPr>
      <w:proofErr w:type="spellStart"/>
      <w:r w:rsidRPr="00125E99">
        <w:rPr>
          <w:sz w:val="28"/>
          <w:szCs w:val="28"/>
        </w:rPr>
        <w:t>Векс</w:t>
      </w:r>
      <w:proofErr w:type="spellEnd"/>
      <w:r w:rsidRPr="00125E99">
        <w:rPr>
          <w:sz w:val="28"/>
          <w:szCs w:val="28"/>
        </w:rPr>
        <w:t xml:space="preserve"> ‒ векселі одержані;</w:t>
      </w:r>
    </w:p>
    <w:p w14:paraId="21350542" w14:textId="77777777" w:rsidR="00856A9E" w:rsidRPr="00125E99" w:rsidRDefault="00856A9E" w:rsidP="002B6A3D">
      <w:pPr>
        <w:pStyle w:val="afb"/>
        <w:tabs>
          <w:tab w:val="left" w:pos="851"/>
        </w:tabs>
        <w:ind w:left="0" w:firstLine="567"/>
      </w:pPr>
    </w:p>
    <w:p w14:paraId="12E8566B" w14:textId="4854D37E" w:rsidR="00856A9E" w:rsidRPr="00125E99" w:rsidRDefault="00856A9E" w:rsidP="002B6A3D">
      <w:pPr>
        <w:pStyle w:val="afc"/>
        <w:numPr>
          <w:ilvl w:val="0"/>
          <w:numId w:val="11"/>
        </w:numPr>
        <w:tabs>
          <w:tab w:val="left" w:pos="851"/>
        </w:tabs>
        <w:ind w:left="0" w:firstLine="567"/>
        <w:rPr>
          <w:sz w:val="28"/>
          <w:szCs w:val="28"/>
        </w:rPr>
      </w:pPr>
      <w:r w:rsidRPr="00125E99">
        <w:rPr>
          <w:sz w:val="28"/>
          <w:szCs w:val="28"/>
        </w:rPr>
        <w:t>НА ‒ залишкова вартість нематеріальних активів;</w:t>
      </w:r>
    </w:p>
    <w:p w14:paraId="7FA7A420" w14:textId="77777777" w:rsidR="00856A9E" w:rsidRPr="00125E99" w:rsidRDefault="00856A9E" w:rsidP="002B6A3D">
      <w:pPr>
        <w:pStyle w:val="afb"/>
        <w:ind w:firstLine="567"/>
      </w:pPr>
    </w:p>
    <w:p w14:paraId="79426708" w14:textId="67A9607C" w:rsidR="00856A9E" w:rsidRPr="00125E99" w:rsidRDefault="00856A9E" w:rsidP="002B6A3D">
      <w:pPr>
        <w:pStyle w:val="afc"/>
        <w:numPr>
          <w:ilvl w:val="0"/>
          <w:numId w:val="11"/>
        </w:numPr>
        <w:tabs>
          <w:tab w:val="left" w:pos="709"/>
          <w:tab w:val="left" w:pos="851"/>
          <w:tab w:val="left" w:pos="993"/>
        </w:tabs>
        <w:ind w:left="0" w:firstLine="567"/>
        <w:rPr>
          <w:sz w:val="28"/>
          <w:szCs w:val="28"/>
        </w:rPr>
      </w:pPr>
      <w:r w:rsidRPr="00125E99">
        <w:rPr>
          <w:sz w:val="28"/>
          <w:szCs w:val="28"/>
        </w:rPr>
        <w:t xml:space="preserve">СБ </w:t>
      </w:r>
      <w:r w:rsidR="00A477BA" w:rsidRPr="00125E99">
        <w:rPr>
          <w:sz w:val="28"/>
          <w:szCs w:val="28"/>
        </w:rPr>
        <w:t>–</w:t>
      </w:r>
      <w:r w:rsidRPr="00125E99">
        <w:rPr>
          <w:sz w:val="28"/>
          <w:szCs w:val="28"/>
        </w:rPr>
        <w:t xml:space="preserve"> </w:t>
      </w:r>
      <w:proofErr w:type="spellStart"/>
      <w:r w:rsidRPr="00125E99">
        <w:rPr>
          <w:sz w:val="28"/>
          <w:szCs w:val="28"/>
        </w:rPr>
        <w:t>субординований</w:t>
      </w:r>
      <w:proofErr w:type="spellEnd"/>
      <w:r w:rsidRPr="00125E99">
        <w:rPr>
          <w:sz w:val="28"/>
          <w:szCs w:val="28"/>
        </w:rPr>
        <w:t xml:space="preserve"> борг, який небанківський гарант має право включити до </w:t>
      </w:r>
      <w:r w:rsidR="00F161AE" w:rsidRPr="00125E99">
        <w:rPr>
          <w:sz w:val="28"/>
          <w:szCs w:val="28"/>
        </w:rPr>
        <w:t>РК</w:t>
      </w:r>
      <w:r w:rsidRPr="00125E99">
        <w:rPr>
          <w:sz w:val="28"/>
          <w:szCs w:val="28"/>
        </w:rPr>
        <w:t xml:space="preserve"> у випадку, визначеному в пункті 1</w:t>
      </w:r>
      <w:r w:rsidR="009A3B33" w:rsidRPr="00125E99">
        <w:rPr>
          <w:sz w:val="28"/>
          <w:szCs w:val="28"/>
        </w:rPr>
        <w:t>3</w:t>
      </w:r>
      <w:r w:rsidRPr="00125E99">
        <w:rPr>
          <w:sz w:val="28"/>
          <w:szCs w:val="28"/>
        </w:rPr>
        <w:t xml:space="preserve"> розділу ІІ цього Положення</w:t>
      </w:r>
      <w:r w:rsidR="00786A6A" w:rsidRPr="00125E99">
        <w:rPr>
          <w:sz w:val="28"/>
          <w:szCs w:val="28"/>
        </w:rPr>
        <w:t>.</w:t>
      </w:r>
    </w:p>
    <w:p w14:paraId="6F7573A1" w14:textId="63F373FB" w:rsidR="00EE31F3" w:rsidRPr="00125E99" w:rsidRDefault="00EE31F3" w:rsidP="001D056E">
      <w:pPr>
        <w:pStyle w:val="afb"/>
      </w:pPr>
    </w:p>
    <w:p w14:paraId="68665A48" w14:textId="67E75B9F" w:rsidR="0058467C" w:rsidRPr="00125E99" w:rsidRDefault="00386330" w:rsidP="002B6A3D">
      <w:pPr>
        <w:pStyle w:val="afb"/>
        <w:shd w:val="clear" w:color="auto" w:fill="FFFFFF"/>
        <w:tabs>
          <w:tab w:val="left" w:pos="851"/>
          <w:tab w:val="left" w:pos="993"/>
        </w:tabs>
        <w:ind w:left="0" w:firstLine="567"/>
      </w:pPr>
      <w:r w:rsidRPr="00125E99">
        <w:t>1</w:t>
      </w:r>
      <w:r w:rsidR="009A3B33" w:rsidRPr="00125E99">
        <w:t>3</w:t>
      </w:r>
      <w:r w:rsidR="00D55F16" w:rsidRPr="00125E99">
        <w:t xml:space="preserve">. </w:t>
      </w:r>
      <w:r w:rsidR="00EE31F3" w:rsidRPr="00125E99">
        <w:t>Н</w:t>
      </w:r>
      <w:r w:rsidR="0058467C" w:rsidRPr="00125E99">
        <w:t xml:space="preserve">ебанківський гарант </w:t>
      </w:r>
      <w:r w:rsidR="00972C0D" w:rsidRPr="00125E99">
        <w:t>має право включити</w:t>
      </w:r>
      <w:r w:rsidR="00EE31F3" w:rsidRPr="00125E99">
        <w:t xml:space="preserve"> </w:t>
      </w:r>
      <w:proofErr w:type="spellStart"/>
      <w:r w:rsidR="00EE31F3" w:rsidRPr="00125E99">
        <w:t>субординований</w:t>
      </w:r>
      <w:proofErr w:type="spellEnd"/>
      <w:r w:rsidR="00EE31F3" w:rsidRPr="00125E99">
        <w:t xml:space="preserve"> борг до </w:t>
      </w:r>
      <w:r w:rsidR="00145E3A" w:rsidRPr="00125E99">
        <w:t>РК</w:t>
      </w:r>
      <w:r w:rsidR="00464DBF" w:rsidRPr="00125E99">
        <w:t xml:space="preserve"> </w:t>
      </w:r>
      <w:r w:rsidR="00972C0D" w:rsidRPr="00125E99">
        <w:t xml:space="preserve">(збільшити </w:t>
      </w:r>
      <w:r w:rsidR="00145E3A" w:rsidRPr="00125E99">
        <w:t>РК</w:t>
      </w:r>
      <w:r w:rsidR="00972C0D" w:rsidRPr="00125E99">
        <w:t xml:space="preserve"> на суму </w:t>
      </w:r>
      <w:proofErr w:type="spellStart"/>
      <w:r w:rsidR="00972C0D" w:rsidRPr="00125E99">
        <w:t>субординованого</w:t>
      </w:r>
      <w:proofErr w:type="spellEnd"/>
      <w:r w:rsidR="00972C0D" w:rsidRPr="00125E99">
        <w:t xml:space="preserve"> боргу)</w:t>
      </w:r>
      <w:r w:rsidR="00EE31F3" w:rsidRPr="00125E99">
        <w:t xml:space="preserve"> після отримання</w:t>
      </w:r>
      <w:r w:rsidR="0058467C" w:rsidRPr="00125E99">
        <w:t xml:space="preserve"> дозв</w:t>
      </w:r>
      <w:r w:rsidR="00EE31F3" w:rsidRPr="00125E99">
        <w:t>о</w:t>
      </w:r>
      <w:r w:rsidR="0058467C" w:rsidRPr="00125E99">
        <w:t>л</w:t>
      </w:r>
      <w:r w:rsidR="00EE31F3" w:rsidRPr="00125E99">
        <w:t>у</w:t>
      </w:r>
      <w:r w:rsidR="0058467C" w:rsidRPr="00125E99">
        <w:t xml:space="preserve"> </w:t>
      </w:r>
      <w:r w:rsidR="00EE31F3" w:rsidRPr="00125E99">
        <w:t xml:space="preserve">Національного банку </w:t>
      </w:r>
      <w:r w:rsidR="0058467C" w:rsidRPr="00125E99">
        <w:t xml:space="preserve">на включення залучених коштів на умовах </w:t>
      </w:r>
      <w:proofErr w:type="spellStart"/>
      <w:r w:rsidR="0058467C" w:rsidRPr="00125E99">
        <w:t>субординованого</w:t>
      </w:r>
      <w:proofErr w:type="spellEnd"/>
      <w:r w:rsidR="0058467C" w:rsidRPr="00125E99">
        <w:t xml:space="preserve"> боргу до </w:t>
      </w:r>
      <w:r w:rsidR="00896649" w:rsidRPr="00125E99">
        <w:t xml:space="preserve">регулятивного </w:t>
      </w:r>
      <w:r w:rsidR="0058467C" w:rsidRPr="00125E99">
        <w:t>капіталу/дозв</w:t>
      </w:r>
      <w:r w:rsidR="00EE31F3" w:rsidRPr="00125E99">
        <w:t>о</w:t>
      </w:r>
      <w:r w:rsidR="0058467C" w:rsidRPr="00125E99">
        <w:t>л</w:t>
      </w:r>
      <w:r w:rsidR="00EE31F3" w:rsidRPr="00125E99">
        <w:t>у</w:t>
      </w:r>
      <w:r w:rsidR="0058467C" w:rsidRPr="00125E99">
        <w:t xml:space="preserve"> Національного банку на включення залучених коштів на умовах </w:t>
      </w:r>
      <w:proofErr w:type="spellStart"/>
      <w:r w:rsidR="0058467C" w:rsidRPr="00125E99">
        <w:t>субординованого</w:t>
      </w:r>
      <w:proofErr w:type="spellEnd"/>
      <w:r w:rsidR="0058467C" w:rsidRPr="00125E99">
        <w:t xml:space="preserve"> боргу до </w:t>
      </w:r>
      <w:r w:rsidR="00896649" w:rsidRPr="00125E99">
        <w:lastRenderedPageBreak/>
        <w:t xml:space="preserve">регулятивного </w:t>
      </w:r>
      <w:r w:rsidR="0058467C" w:rsidRPr="00125E99">
        <w:t xml:space="preserve">капіталу у </w:t>
      </w:r>
      <w:proofErr w:type="spellStart"/>
      <w:r w:rsidR="0058467C" w:rsidRPr="00125E99">
        <w:t>звʼязку</w:t>
      </w:r>
      <w:proofErr w:type="spellEnd"/>
      <w:r w:rsidR="0058467C" w:rsidRPr="00125E99">
        <w:t xml:space="preserve"> із заміною інвестора (далі – дозвіл), </w:t>
      </w:r>
      <w:r w:rsidR="00EE31F3" w:rsidRPr="00125E99">
        <w:t>який небанківський гарант одержує в</w:t>
      </w:r>
      <w:r w:rsidR="0058467C" w:rsidRPr="00125E99">
        <w:t xml:space="preserve"> порядку, встановленому нормативно-правовим актом Національного банку з питань </w:t>
      </w:r>
      <w:r w:rsidR="00145E3A" w:rsidRPr="00125E99">
        <w:t>авторизації</w:t>
      </w:r>
      <w:r w:rsidR="002C1FC8" w:rsidRPr="00125E99">
        <w:t xml:space="preserve"> </w:t>
      </w:r>
      <w:r w:rsidR="0058467C" w:rsidRPr="00125E99">
        <w:t xml:space="preserve">надавачів фінансових послуг. </w:t>
      </w:r>
    </w:p>
    <w:p w14:paraId="49BE77AC" w14:textId="2751BA0A" w:rsidR="00386330" w:rsidRPr="00125E99" w:rsidRDefault="00386330" w:rsidP="002B6A3D">
      <w:pPr>
        <w:pStyle w:val="afb"/>
        <w:shd w:val="clear" w:color="auto" w:fill="FFFFFF"/>
        <w:tabs>
          <w:tab w:val="left" w:pos="851"/>
          <w:tab w:val="left" w:pos="993"/>
        </w:tabs>
        <w:ind w:left="0" w:firstLine="567"/>
      </w:pPr>
    </w:p>
    <w:p w14:paraId="7771F7CD" w14:textId="34CE6585" w:rsidR="00D55F16" w:rsidRPr="00125E99" w:rsidRDefault="00386330" w:rsidP="002B6A3D">
      <w:pPr>
        <w:pStyle w:val="afb"/>
        <w:shd w:val="clear" w:color="auto" w:fill="FFFFFF"/>
        <w:tabs>
          <w:tab w:val="left" w:pos="851"/>
          <w:tab w:val="left" w:pos="993"/>
        </w:tabs>
        <w:ind w:left="0" w:firstLine="567"/>
      </w:pPr>
      <w:r w:rsidRPr="00125E99">
        <w:t>1</w:t>
      </w:r>
      <w:r w:rsidR="009A3B33" w:rsidRPr="00125E99">
        <w:t>4</w:t>
      </w:r>
      <w:r w:rsidRPr="00125E99">
        <w:t xml:space="preserve">. </w:t>
      </w:r>
      <w:r w:rsidR="00D55F16" w:rsidRPr="00125E99">
        <w:t>Небанківський гарант</w:t>
      </w:r>
      <w:r w:rsidR="00972C0D" w:rsidRPr="00125E99">
        <w:t>, як</w:t>
      </w:r>
      <w:r w:rsidR="000D64C7" w:rsidRPr="00125E99">
        <w:t>ий відповідно до вимог пункту 1</w:t>
      </w:r>
      <w:r w:rsidR="009A3B33" w:rsidRPr="00125E99">
        <w:t>3</w:t>
      </w:r>
      <w:r w:rsidR="00972C0D" w:rsidRPr="00125E99">
        <w:t xml:space="preserve"> розділу ІІ цього Положення включив </w:t>
      </w:r>
      <w:proofErr w:type="spellStart"/>
      <w:r w:rsidR="00972C0D" w:rsidRPr="00125E99">
        <w:t>субординований</w:t>
      </w:r>
      <w:proofErr w:type="spellEnd"/>
      <w:r w:rsidR="00972C0D" w:rsidRPr="00125E99">
        <w:t xml:space="preserve"> борг до</w:t>
      </w:r>
      <w:r w:rsidR="007141A9" w:rsidRPr="00125E99">
        <w:t xml:space="preserve"> </w:t>
      </w:r>
      <w:r w:rsidR="005A4957" w:rsidRPr="00125E99">
        <w:t>РК</w:t>
      </w:r>
      <w:r w:rsidR="00972C0D" w:rsidRPr="00125E99">
        <w:t>,</w:t>
      </w:r>
      <w:r w:rsidR="00D55F16" w:rsidRPr="00125E99">
        <w:t xml:space="preserve"> зменшує суму </w:t>
      </w:r>
      <w:proofErr w:type="spellStart"/>
      <w:r w:rsidR="00D55F16" w:rsidRPr="00125E99">
        <w:t>субординованого</w:t>
      </w:r>
      <w:proofErr w:type="spellEnd"/>
      <w:r w:rsidR="00D55F16" w:rsidRPr="00125E99">
        <w:t xml:space="preserve"> боргу, уключеного до </w:t>
      </w:r>
      <w:r w:rsidR="00F161AE" w:rsidRPr="00125E99">
        <w:t>РК</w:t>
      </w:r>
      <w:r w:rsidR="00D55F16" w:rsidRPr="00125E99">
        <w:t>:</w:t>
      </w:r>
    </w:p>
    <w:p w14:paraId="1E89D56D" w14:textId="721CE420" w:rsidR="00D55F16" w:rsidRPr="00125E99" w:rsidRDefault="00D55F16" w:rsidP="002B6A3D">
      <w:pPr>
        <w:pStyle w:val="afb"/>
        <w:shd w:val="clear" w:color="auto" w:fill="FFFFFF"/>
        <w:tabs>
          <w:tab w:val="left" w:pos="710"/>
          <w:tab w:val="left" w:pos="851"/>
        </w:tabs>
        <w:ind w:left="710" w:firstLine="567"/>
      </w:pPr>
    </w:p>
    <w:p w14:paraId="7D26769B" w14:textId="01980FC1" w:rsidR="00556643" w:rsidRPr="00125E99" w:rsidRDefault="00556643" w:rsidP="002B6A3D">
      <w:pPr>
        <w:pStyle w:val="afb"/>
        <w:numPr>
          <w:ilvl w:val="0"/>
          <w:numId w:val="2"/>
        </w:numPr>
        <w:shd w:val="clear" w:color="auto" w:fill="FFFFFF"/>
        <w:tabs>
          <w:tab w:val="left" w:pos="993"/>
        </w:tabs>
        <w:ind w:left="0" w:firstLine="567"/>
      </w:pPr>
      <w:r w:rsidRPr="00125E99">
        <w:t xml:space="preserve">на суму </w:t>
      </w:r>
      <w:proofErr w:type="spellStart"/>
      <w:r w:rsidRPr="00125E99">
        <w:t>субординованого</w:t>
      </w:r>
      <w:proofErr w:type="spellEnd"/>
      <w:r w:rsidRPr="00125E99">
        <w:t xml:space="preserve"> боргу, яка була достроково погашена небанківським гарантом на дату розрахунку РК</w:t>
      </w:r>
      <w:r w:rsidR="00BF0019" w:rsidRPr="00125E99">
        <w:t>;</w:t>
      </w:r>
    </w:p>
    <w:p w14:paraId="7D5FEA3E" w14:textId="77777777" w:rsidR="00464DBF" w:rsidRPr="00125E99" w:rsidRDefault="00464DBF" w:rsidP="002B6A3D">
      <w:pPr>
        <w:pStyle w:val="afb"/>
        <w:shd w:val="clear" w:color="auto" w:fill="FFFFFF"/>
        <w:tabs>
          <w:tab w:val="left" w:pos="993"/>
        </w:tabs>
        <w:ind w:left="709" w:firstLine="567"/>
      </w:pPr>
    </w:p>
    <w:p w14:paraId="47224602" w14:textId="5D3BA68B" w:rsidR="00556643" w:rsidRPr="00125E99" w:rsidRDefault="00556643" w:rsidP="002B6A3D">
      <w:pPr>
        <w:pStyle w:val="afb"/>
        <w:numPr>
          <w:ilvl w:val="0"/>
          <w:numId w:val="2"/>
        </w:numPr>
        <w:shd w:val="clear" w:color="auto" w:fill="FFFFFF"/>
        <w:tabs>
          <w:tab w:val="left" w:pos="993"/>
        </w:tabs>
        <w:ind w:left="0" w:firstLine="567"/>
      </w:pPr>
      <w:r w:rsidRPr="00125E99">
        <w:t xml:space="preserve">щорічно на 20 відсотків первинного або фактичного (у випадку дострокового погашення </w:t>
      </w:r>
      <w:r w:rsidR="00464DBF" w:rsidRPr="00125E99">
        <w:t xml:space="preserve">певної суми </w:t>
      </w:r>
      <w:proofErr w:type="spellStart"/>
      <w:r w:rsidRPr="00125E99">
        <w:t>субординованого</w:t>
      </w:r>
      <w:proofErr w:type="spellEnd"/>
      <w:r w:rsidRPr="00125E99">
        <w:t xml:space="preserve"> боргу) розміру </w:t>
      </w:r>
      <w:proofErr w:type="spellStart"/>
      <w:r w:rsidRPr="00125E99">
        <w:t>субординованого</w:t>
      </w:r>
      <w:proofErr w:type="spellEnd"/>
      <w:r w:rsidRPr="00125E99">
        <w:t xml:space="preserve"> боргу протягом п’яти останніх років дії дозволу за графіком, вказаним у додатку до цього Положення.</w:t>
      </w:r>
    </w:p>
    <w:p w14:paraId="3923A0C5" w14:textId="17875D97" w:rsidR="00B23575" w:rsidRPr="00125E99" w:rsidRDefault="00B23575" w:rsidP="00B23575">
      <w:pPr>
        <w:pStyle w:val="afb"/>
        <w:shd w:val="clear" w:color="auto" w:fill="FFFFFF"/>
        <w:tabs>
          <w:tab w:val="left" w:pos="993"/>
        </w:tabs>
        <w:ind w:left="0"/>
      </w:pPr>
      <w:bookmarkStart w:id="5" w:name="n30"/>
      <w:bookmarkStart w:id="6" w:name="n29"/>
      <w:bookmarkStart w:id="7" w:name="n31"/>
      <w:bookmarkEnd w:id="5"/>
      <w:bookmarkEnd w:id="6"/>
      <w:bookmarkEnd w:id="7"/>
    </w:p>
    <w:p w14:paraId="3F1E1756" w14:textId="5470FD4F" w:rsidR="00B23575" w:rsidRPr="00125E99" w:rsidRDefault="00B23575" w:rsidP="00C347B0">
      <w:pPr>
        <w:pStyle w:val="afb"/>
        <w:shd w:val="clear" w:color="auto" w:fill="FFFFFF"/>
        <w:tabs>
          <w:tab w:val="left" w:pos="993"/>
        </w:tabs>
        <w:ind w:left="0"/>
        <w:jc w:val="center"/>
      </w:pPr>
      <w:r w:rsidRPr="00125E99">
        <w:t>ІІІ. Норматив достатності (адекватності) капіталу</w:t>
      </w:r>
      <w:r w:rsidR="005E7EC3" w:rsidRPr="00125E99">
        <w:t xml:space="preserve"> </w:t>
      </w:r>
    </w:p>
    <w:p w14:paraId="13A0355F" w14:textId="4FD9FDF0" w:rsidR="00B457F2" w:rsidRPr="00125E99" w:rsidRDefault="00B457F2" w:rsidP="00CF3675">
      <w:pPr>
        <w:shd w:val="clear" w:color="auto" w:fill="FFFFFF"/>
        <w:tabs>
          <w:tab w:val="left" w:pos="709"/>
          <w:tab w:val="left" w:pos="993"/>
        </w:tabs>
      </w:pPr>
    </w:p>
    <w:p w14:paraId="3B86C342" w14:textId="0DB29F3C" w:rsidR="000C1BD8" w:rsidRPr="00125E99" w:rsidRDefault="00AD7377" w:rsidP="002B6A3D">
      <w:pPr>
        <w:pStyle w:val="afc"/>
        <w:tabs>
          <w:tab w:val="left" w:pos="993"/>
          <w:tab w:val="left" w:pos="1134"/>
          <w:tab w:val="left" w:pos="1276"/>
        </w:tabs>
        <w:ind w:firstLine="567"/>
        <w:rPr>
          <w:sz w:val="28"/>
          <w:szCs w:val="28"/>
        </w:rPr>
      </w:pPr>
      <w:r w:rsidRPr="00125E99">
        <w:rPr>
          <w:sz w:val="28"/>
          <w:szCs w:val="28"/>
        </w:rPr>
        <w:t>1</w:t>
      </w:r>
      <w:r w:rsidR="00786A6A" w:rsidRPr="00125E99">
        <w:rPr>
          <w:sz w:val="28"/>
          <w:szCs w:val="28"/>
        </w:rPr>
        <w:t>5</w:t>
      </w:r>
      <w:r w:rsidRPr="00125E99">
        <w:t>.</w:t>
      </w:r>
      <w:r w:rsidR="008C6DD2" w:rsidRPr="00125E99">
        <w:t> </w:t>
      </w:r>
      <w:r w:rsidR="0006454A" w:rsidRPr="00125E99" w:rsidDel="0006454A">
        <w:t xml:space="preserve"> </w:t>
      </w:r>
      <w:bookmarkStart w:id="8" w:name="n430"/>
      <w:bookmarkStart w:id="9" w:name="n431"/>
      <w:bookmarkStart w:id="10" w:name="n432"/>
      <w:bookmarkStart w:id="11" w:name="n32"/>
      <w:bookmarkStart w:id="12" w:name="n33"/>
      <w:bookmarkEnd w:id="8"/>
      <w:bookmarkEnd w:id="9"/>
      <w:bookmarkEnd w:id="10"/>
      <w:bookmarkEnd w:id="11"/>
      <w:bookmarkEnd w:id="12"/>
      <w:r w:rsidR="00D14D42" w:rsidRPr="00125E99">
        <w:rPr>
          <w:sz w:val="28"/>
          <w:szCs w:val="28"/>
        </w:rPr>
        <w:t xml:space="preserve">Н1 </w:t>
      </w:r>
      <w:r w:rsidR="000C1BD8" w:rsidRPr="00125E99">
        <w:rPr>
          <w:sz w:val="28"/>
          <w:szCs w:val="28"/>
        </w:rPr>
        <w:t xml:space="preserve">визначається як співвідношення </w:t>
      </w:r>
      <w:r w:rsidR="00464DBF" w:rsidRPr="00125E99">
        <w:rPr>
          <w:sz w:val="28"/>
          <w:szCs w:val="28"/>
        </w:rPr>
        <w:t xml:space="preserve">РК </w:t>
      </w:r>
      <w:r w:rsidR="000C1BD8" w:rsidRPr="00125E99">
        <w:rPr>
          <w:sz w:val="28"/>
          <w:szCs w:val="28"/>
        </w:rPr>
        <w:t>та сумарної балансової вартості активів, зважених за ступенем кредитного ризику</w:t>
      </w:r>
      <w:r w:rsidR="00D14D42" w:rsidRPr="00125E99">
        <w:rPr>
          <w:sz w:val="28"/>
          <w:szCs w:val="28"/>
        </w:rPr>
        <w:t xml:space="preserve">, і </w:t>
      </w:r>
      <w:proofErr w:type="spellStart"/>
      <w:r w:rsidR="00D14D42" w:rsidRPr="00125E99">
        <w:rPr>
          <w:sz w:val="28"/>
          <w:szCs w:val="28"/>
        </w:rPr>
        <w:t>зобовʼязань</w:t>
      </w:r>
      <w:proofErr w:type="spellEnd"/>
      <w:r w:rsidR="00D14D42" w:rsidRPr="00125E99">
        <w:rPr>
          <w:sz w:val="28"/>
          <w:szCs w:val="28"/>
        </w:rPr>
        <w:t xml:space="preserve"> за гарантіями/</w:t>
      </w:r>
      <w:proofErr w:type="spellStart"/>
      <w:r w:rsidR="00D14D42" w:rsidRPr="00125E99">
        <w:rPr>
          <w:sz w:val="28"/>
          <w:szCs w:val="28"/>
        </w:rPr>
        <w:t>контргарантіями</w:t>
      </w:r>
      <w:proofErr w:type="spellEnd"/>
      <w:r w:rsidR="000C1BD8" w:rsidRPr="00125E99">
        <w:rPr>
          <w:sz w:val="28"/>
          <w:szCs w:val="28"/>
        </w:rPr>
        <w:t xml:space="preserve">. </w:t>
      </w:r>
    </w:p>
    <w:p w14:paraId="2A086236" w14:textId="77777777" w:rsidR="000C1BD8" w:rsidRPr="00125E99" w:rsidRDefault="000C1BD8" w:rsidP="002B6A3D">
      <w:pPr>
        <w:pStyle w:val="afb"/>
        <w:ind w:firstLine="567"/>
      </w:pPr>
    </w:p>
    <w:p w14:paraId="48CB130F" w14:textId="5FBB4115" w:rsidR="000C1BD8" w:rsidRPr="00125E99" w:rsidRDefault="00786A6A" w:rsidP="002B6A3D">
      <w:pPr>
        <w:pStyle w:val="afc"/>
        <w:tabs>
          <w:tab w:val="left" w:pos="851"/>
          <w:tab w:val="left" w:pos="1134"/>
        </w:tabs>
        <w:ind w:firstLine="567"/>
      </w:pPr>
      <w:r w:rsidRPr="00125E99">
        <w:rPr>
          <w:sz w:val="28"/>
          <w:szCs w:val="28"/>
        </w:rPr>
        <w:t>16. </w:t>
      </w:r>
      <w:r w:rsidR="000A3369" w:rsidRPr="00125E99">
        <w:rPr>
          <w:sz w:val="28"/>
          <w:szCs w:val="28"/>
        </w:rPr>
        <w:t>Небанківський гарант д</w:t>
      </w:r>
      <w:r w:rsidR="000C1BD8" w:rsidRPr="00125E99">
        <w:rPr>
          <w:sz w:val="28"/>
          <w:szCs w:val="28"/>
        </w:rPr>
        <w:t xml:space="preserve">ля розрахунку </w:t>
      </w:r>
      <w:r w:rsidR="000A3369" w:rsidRPr="00125E99">
        <w:rPr>
          <w:sz w:val="28"/>
          <w:szCs w:val="28"/>
        </w:rPr>
        <w:t xml:space="preserve">Н1 поділяє </w:t>
      </w:r>
      <w:r w:rsidR="000C1BD8" w:rsidRPr="00125E99">
        <w:rPr>
          <w:sz w:val="28"/>
          <w:szCs w:val="28"/>
        </w:rPr>
        <w:t xml:space="preserve">активи </w:t>
      </w:r>
      <w:r w:rsidR="000A3369" w:rsidRPr="00125E99">
        <w:rPr>
          <w:sz w:val="28"/>
          <w:szCs w:val="28"/>
        </w:rPr>
        <w:t xml:space="preserve"> </w:t>
      </w:r>
      <w:r w:rsidR="000C1BD8" w:rsidRPr="00125E99">
        <w:rPr>
          <w:sz w:val="28"/>
          <w:szCs w:val="28"/>
        </w:rPr>
        <w:t>на групи за ступенем ризику та підсумов</w:t>
      </w:r>
      <w:r w:rsidR="00386330" w:rsidRPr="00125E99">
        <w:rPr>
          <w:sz w:val="28"/>
          <w:szCs w:val="28"/>
        </w:rPr>
        <w:t>ує їх</w:t>
      </w:r>
      <w:r w:rsidR="000C1BD8" w:rsidRPr="00125E99">
        <w:rPr>
          <w:sz w:val="28"/>
          <w:szCs w:val="28"/>
        </w:rPr>
        <w:t xml:space="preserve"> з урахуванням відповідних коефіцієнтів </w:t>
      </w:r>
      <w:proofErr w:type="spellStart"/>
      <w:r w:rsidR="000C1BD8" w:rsidRPr="00125E99">
        <w:rPr>
          <w:sz w:val="28"/>
          <w:szCs w:val="28"/>
        </w:rPr>
        <w:t>зваження</w:t>
      </w:r>
      <w:proofErr w:type="spellEnd"/>
      <w:r w:rsidR="000C1BD8" w:rsidRPr="00125E99">
        <w:rPr>
          <w:sz w:val="28"/>
          <w:szCs w:val="28"/>
        </w:rPr>
        <w:t>:</w:t>
      </w:r>
    </w:p>
    <w:p w14:paraId="32E8F77B" w14:textId="77777777" w:rsidR="000C1BD8" w:rsidRPr="00125E99" w:rsidRDefault="000C1BD8" w:rsidP="002B6A3D">
      <w:pPr>
        <w:pStyle w:val="afb"/>
        <w:ind w:firstLine="567"/>
      </w:pPr>
    </w:p>
    <w:p w14:paraId="3A4DE2BE" w14:textId="700D7AAB" w:rsidR="000C1BD8" w:rsidRPr="00125E99" w:rsidRDefault="003732D1" w:rsidP="002B6A3D">
      <w:pPr>
        <w:pStyle w:val="afc"/>
        <w:tabs>
          <w:tab w:val="left" w:pos="851"/>
        </w:tabs>
        <w:ind w:firstLine="567"/>
        <w:rPr>
          <w:sz w:val="28"/>
          <w:szCs w:val="28"/>
        </w:rPr>
      </w:pPr>
      <w:r w:rsidRPr="00125E99">
        <w:rPr>
          <w:sz w:val="28"/>
          <w:szCs w:val="28"/>
        </w:rPr>
        <w:t>1</w:t>
      </w:r>
      <w:r w:rsidR="000C1BD8" w:rsidRPr="00125E99">
        <w:rPr>
          <w:sz w:val="28"/>
          <w:szCs w:val="28"/>
        </w:rPr>
        <w:t>) I група активів зі ступенем ризику 0 відсотків:</w:t>
      </w:r>
    </w:p>
    <w:p w14:paraId="1EE2C4F3" w14:textId="565F698A" w:rsidR="003732D1" w:rsidRPr="00125E99" w:rsidRDefault="003732D1" w:rsidP="002B6A3D">
      <w:pPr>
        <w:pStyle w:val="afc"/>
        <w:tabs>
          <w:tab w:val="left" w:pos="709"/>
          <w:tab w:val="left" w:pos="1134"/>
        </w:tabs>
        <w:ind w:firstLine="284"/>
        <w:rPr>
          <w:sz w:val="28"/>
          <w:szCs w:val="28"/>
        </w:rPr>
      </w:pPr>
      <w:r w:rsidRPr="00125E99">
        <w:rPr>
          <w:sz w:val="28"/>
          <w:szCs w:val="28"/>
        </w:rPr>
        <w:t>грошові кошти та їх еквіваленти (за винятком сум, що стосуються коштів, використання яких обмежено, та/або за виключенням грошових коштів на рахунках у банках, що віднесені до категорії неплатоспроможних</w:t>
      </w:r>
      <w:r w:rsidR="00526BDE" w:rsidRPr="00125E99">
        <w:rPr>
          <w:sz w:val="28"/>
          <w:szCs w:val="28"/>
        </w:rPr>
        <w:t>)</w:t>
      </w:r>
      <w:r w:rsidRPr="00125E99">
        <w:rPr>
          <w:sz w:val="28"/>
          <w:szCs w:val="28"/>
        </w:rPr>
        <w:t>;</w:t>
      </w:r>
    </w:p>
    <w:p w14:paraId="77FD19BA" w14:textId="1D0655A0" w:rsidR="00A024D6" w:rsidRPr="00125E99" w:rsidRDefault="003732D1" w:rsidP="002B6A3D">
      <w:pPr>
        <w:pStyle w:val="afc"/>
        <w:tabs>
          <w:tab w:val="left" w:pos="709"/>
          <w:tab w:val="left" w:pos="993"/>
          <w:tab w:val="left" w:pos="1134"/>
        </w:tabs>
        <w:ind w:firstLine="284"/>
        <w:rPr>
          <w:sz w:val="28"/>
          <w:szCs w:val="28"/>
        </w:rPr>
      </w:pPr>
      <w:r w:rsidRPr="00125E99">
        <w:rPr>
          <w:sz w:val="28"/>
          <w:szCs w:val="28"/>
        </w:rPr>
        <w:t xml:space="preserve">боргові цінні папери (державні облігації України, облігації місцевих позик, облігації міжнародних фінансових організацій), що перебувають в біржовому списку </w:t>
      </w:r>
      <w:r w:rsidRPr="00125E99">
        <w:t>(</w:t>
      </w:r>
      <w:r w:rsidRPr="00125E99">
        <w:rPr>
          <w:sz w:val="28"/>
          <w:szCs w:val="28"/>
        </w:rPr>
        <w:t>за винятком боргових цінних паперів, використання яких обмежено)</w:t>
      </w:r>
      <w:r w:rsidR="007A32D3" w:rsidRPr="00125E99">
        <w:rPr>
          <w:sz w:val="28"/>
          <w:szCs w:val="28"/>
        </w:rPr>
        <w:t>;</w:t>
      </w:r>
    </w:p>
    <w:p w14:paraId="49F7C0B6" w14:textId="77777777" w:rsidR="00A024D6" w:rsidRPr="00125E99" w:rsidRDefault="00A024D6" w:rsidP="002B6A3D">
      <w:pPr>
        <w:pStyle w:val="afc"/>
        <w:tabs>
          <w:tab w:val="left" w:pos="993"/>
          <w:tab w:val="left" w:pos="1134"/>
        </w:tabs>
        <w:ind w:firstLine="567"/>
        <w:rPr>
          <w:sz w:val="28"/>
          <w:szCs w:val="28"/>
        </w:rPr>
      </w:pPr>
    </w:p>
    <w:p w14:paraId="0EC94C18" w14:textId="29E2468A" w:rsidR="009272D4" w:rsidRPr="00125E99" w:rsidRDefault="00526BDE" w:rsidP="002B6A3D">
      <w:pPr>
        <w:pStyle w:val="afc"/>
        <w:tabs>
          <w:tab w:val="left" w:pos="851"/>
        </w:tabs>
        <w:ind w:firstLine="567"/>
        <w:rPr>
          <w:sz w:val="28"/>
          <w:szCs w:val="28"/>
        </w:rPr>
      </w:pPr>
      <w:r w:rsidRPr="00125E99">
        <w:rPr>
          <w:sz w:val="28"/>
          <w:szCs w:val="28"/>
        </w:rPr>
        <w:t>2</w:t>
      </w:r>
      <w:r w:rsidR="009272D4" w:rsidRPr="00125E99">
        <w:rPr>
          <w:sz w:val="28"/>
          <w:szCs w:val="28"/>
        </w:rPr>
        <w:t>) ІI група активів із ступенем ризику 100 відсотків:</w:t>
      </w:r>
    </w:p>
    <w:p w14:paraId="6382B4CF" w14:textId="18938AFB" w:rsidR="009272D4" w:rsidRPr="00125E99" w:rsidRDefault="009272D4" w:rsidP="002B6A3D">
      <w:pPr>
        <w:pStyle w:val="afc"/>
        <w:tabs>
          <w:tab w:val="left" w:pos="993"/>
        </w:tabs>
        <w:ind w:firstLine="567"/>
        <w:rPr>
          <w:sz w:val="28"/>
          <w:szCs w:val="28"/>
        </w:rPr>
      </w:pPr>
      <w:r w:rsidRPr="00125E99">
        <w:rPr>
          <w:sz w:val="28"/>
          <w:szCs w:val="28"/>
        </w:rPr>
        <w:t xml:space="preserve">активи за мінусом активів І групи та активів, зазначених в підпунктах </w:t>
      </w:r>
      <w:r w:rsidR="00BB2ED2" w:rsidRPr="00125E99">
        <w:rPr>
          <w:sz w:val="28"/>
          <w:szCs w:val="28"/>
        </w:rPr>
        <w:t>2</w:t>
      </w:r>
      <w:r w:rsidRPr="00125E99">
        <w:rPr>
          <w:sz w:val="28"/>
          <w:szCs w:val="28"/>
        </w:rPr>
        <w:t xml:space="preserve"> – </w:t>
      </w:r>
      <w:r w:rsidR="00AD7377" w:rsidRPr="00125E99">
        <w:rPr>
          <w:sz w:val="28"/>
          <w:szCs w:val="28"/>
        </w:rPr>
        <w:t>5</w:t>
      </w:r>
      <w:r w:rsidRPr="00125E99">
        <w:rPr>
          <w:sz w:val="28"/>
          <w:szCs w:val="28"/>
        </w:rPr>
        <w:t xml:space="preserve"> пункту 1</w:t>
      </w:r>
      <w:r w:rsidR="009A3B33" w:rsidRPr="00125E99">
        <w:rPr>
          <w:sz w:val="28"/>
          <w:szCs w:val="28"/>
        </w:rPr>
        <w:t>2</w:t>
      </w:r>
      <w:r w:rsidRPr="00125E99">
        <w:rPr>
          <w:sz w:val="28"/>
          <w:szCs w:val="28"/>
        </w:rPr>
        <w:t xml:space="preserve"> розділу ІІ цього Положення, на які зменшується регулятивний капітал.</w:t>
      </w:r>
    </w:p>
    <w:p w14:paraId="46EAB0CD" w14:textId="32F60FF1" w:rsidR="000A3369" w:rsidRPr="00125E99" w:rsidRDefault="000A3369" w:rsidP="002B6A3D">
      <w:pPr>
        <w:pStyle w:val="afc"/>
        <w:tabs>
          <w:tab w:val="left" w:pos="993"/>
        </w:tabs>
        <w:ind w:firstLine="567"/>
        <w:rPr>
          <w:sz w:val="28"/>
          <w:szCs w:val="28"/>
        </w:rPr>
      </w:pPr>
    </w:p>
    <w:p w14:paraId="24CE67B2" w14:textId="6E127299" w:rsidR="000A3369" w:rsidRPr="00125E99" w:rsidRDefault="009A3B33" w:rsidP="002B6A3D">
      <w:pPr>
        <w:pStyle w:val="afc"/>
        <w:tabs>
          <w:tab w:val="left" w:pos="709"/>
          <w:tab w:val="left" w:pos="993"/>
          <w:tab w:val="left" w:pos="1134"/>
        </w:tabs>
        <w:ind w:firstLine="567"/>
        <w:rPr>
          <w:sz w:val="28"/>
          <w:szCs w:val="28"/>
        </w:rPr>
      </w:pPr>
      <w:r w:rsidRPr="00125E99">
        <w:rPr>
          <w:sz w:val="28"/>
          <w:szCs w:val="28"/>
        </w:rPr>
        <w:t>17. </w:t>
      </w:r>
      <w:r w:rsidR="000A3369" w:rsidRPr="00125E99">
        <w:rPr>
          <w:sz w:val="28"/>
          <w:szCs w:val="28"/>
        </w:rPr>
        <w:t xml:space="preserve">Небанківський гарант для розрахунку Н1 включає до </w:t>
      </w:r>
      <w:proofErr w:type="spellStart"/>
      <w:r w:rsidR="000A3369" w:rsidRPr="00125E99">
        <w:rPr>
          <w:sz w:val="28"/>
          <w:szCs w:val="28"/>
        </w:rPr>
        <w:t>зобовʼязань</w:t>
      </w:r>
      <w:proofErr w:type="spellEnd"/>
      <w:r w:rsidR="000A3369" w:rsidRPr="00125E99">
        <w:rPr>
          <w:sz w:val="28"/>
          <w:szCs w:val="28"/>
        </w:rPr>
        <w:t xml:space="preserve"> за гарантіями/</w:t>
      </w:r>
      <w:proofErr w:type="spellStart"/>
      <w:r w:rsidR="000A3369" w:rsidRPr="00125E99">
        <w:rPr>
          <w:sz w:val="28"/>
          <w:szCs w:val="28"/>
        </w:rPr>
        <w:t>контргарантіями</w:t>
      </w:r>
      <w:proofErr w:type="spellEnd"/>
      <w:r w:rsidR="000A3369" w:rsidRPr="00125E99">
        <w:t xml:space="preserve"> </w:t>
      </w:r>
      <w:r w:rsidR="000A3369" w:rsidRPr="00125E99">
        <w:rPr>
          <w:sz w:val="28"/>
          <w:szCs w:val="28"/>
        </w:rPr>
        <w:t>загальну суму зобов’язань за всіма видами гарантій/</w:t>
      </w:r>
      <w:proofErr w:type="spellStart"/>
      <w:r w:rsidR="000A3369" w:rsidRPr="00125E99">
        <w:rPr>
          <w:sz w:val="28"/>
          <w:szCs w:val="28"/>
        </w:rPr>
        <w:t>контргарантій</w:t>
      </w:r>
      <w:proofErr w:type="spellEnd"/>
      <w:r w:rsidR="000A3369" w:rsidRPr="00125E99">
        <w:rPr>
          <w:sz w:val="28"/>
          <w:szCs w:val="28"/>
        </w:rPr>
        <w:t>, які мають  облікову</w:t>
      </w:r>
      <w:r w:rsidR="007A1EEE" w:rsidRPr="00125E99">
        <w:rPr>
          <w:sz w:val="28"/>
          <w:szCs w:val="28"/>
        </w:rPr>
        <w:t>ва</w:t>
      </w:r>
      <w:r w:rsidR="000A3369" w:rsidRPr="00125E99">
        <w:rPr>
          <w:sz w:val="28"/>
          <w:szCs w:val="28"/>
        </w:rPr>
        <w:t>т</w:t>
      </w:r>
      <w:r w:rsidR="007A1EEE" w:rsidRPr="00125E99">
        <w:rPr>
          <w:sz w:val="28"/>
          <w:szCs w:val="28"/>
        </w:rPr>
        <w:t>и</w:t>
      </w:r>
      <w:r w:rsidR="000A3369" w:rsidRPr="00125E99">
        <w:rPr>
          <w:sz w:val="28"/>
          <w:szCs w:val="28"/>
        </w:rPr>
        <w:t xml:space="preserve">ся на балансових та </w:t>
      </w:r>
      <w:r w:rsidR="000A3369" w:rsidRPr="00125E99">
        <w:rPr>
          <w:sz w:val="28"/>
          <w:szCs w:val="28"/>
        </w:rPr>
        <w:lastRenderedPageBreak/>
        <w:t>позабалансових рахунках, та  якими небанківський гарант</w:t>
      </w:r>
      <w:r w:rsidR="000A3369" w:rsidRPr="00125E99" w:rsidDel="00DA6C26">
        <w:rPr>
          <w:sz w:val="28"/>
          <w:szCs w:val="28"/>
        </w:rPr>
        <w:t xml:space="preserve"> </w:t>
      </w:r>
      <w:r w:rsidR="000A3369" w:rsidRPr="00125E99">
        <w:rPr>
          <w:sz w:val="28"/>
          <w:szCs w:val="28"/>
        </w:rPr>
        <w:t>забезпечив  виконання обов’язку</w:t>
      </w:r>
      <w:r w:rsidR="00265E9F" w:rsidRPr="00125E99">
        <w:rPr>
          <w:sz w:val="28"/>
          <w:szCs w:val="28"/>
        </w:rPr>
        <w:t xml:space="preserve"> </w:t>
      </w:r>
      <w:r w:rsidR="000A3369" w:rsidRPr="00125E99">
        <w:rPr>
          <w:sz w:val="28"/>
          <w:szCs w:val="28"/>
        </w:rPr>
        <w:t>принципал</w:t>
      </w:r>
      <w:r w:rsidR="00265E9F" w:rsidRPr="00125E99">
        <w:rPr>
          <w:sz w:val="28"/>
          <w:szCs w:val="28"/>
        </w:rPr>
        <w:t>а</w:t>
      </w:r>
      <w:r w:rsidR="000A3369" w:rsidRPr="00125E99">
        <w:rPr>
          <w:sz w:val="28"/>
          <w:szCs w:val="28"/>
        </w:rPr>
        <w:t xml:space="preserve"> перед кредиторами (</w:t>
      </w:r>
      <w:proofErr w:type="spellStart"/>
      <w:r w:rsidR="000A3369" w:rsidRPr="00125E99">
        <w:rPr>
          <w:sz w:val="28"/>
          <w:szCs w:val="28"/>
        </w:rPr>
        <w:t>бенефіціарами</w:t>
      </w:r>
      <w:proofErr w:type="spellEnd"/>
      <w:r w:rsidR="000A3369" w:rsidRPr="00125E99">
        <w:rPr>
          <w:sz w:val="28"/>
          <w:szCs w:val="28"/>
        </w:rPr>
        <w:t>).</w:t>
      </w:r>
    </w:p>
    <w:p w14:paraId="7DFBEF14" w14:textId="20BED550" w:rsidR="000C1BD8" w:rsidRPr="00125E99" w:rsidRDefault="000C1BD8" w:rsidP="002B6A3D">
      <w:pPr>
        <w:ind w:firstLine="567"/>
      </w:pPr>
    </w:p>
    <w:p w14:paraId="540A2A1D" w14:textId="54C34A39" w:rsidR="00556643" w:rsidRPr="00125E99" w:rsidRDefault="009A3B33" w:rsidP="002B6A3D">
      <w:pPr>
        <w:tabs>
          <w:tab w:val="left" w:pos="851"/>
          <w:tab w:val="left" w:pos="993"/>
        </w:tabs>
        <w:ind w:firstLine="567"/>
      </w:pPr>
      <w:r w:rsidRPr="00125E99">
        <w:t>18</w:t>
      </w:r>
      <w:r w:rsidR="00556643" w:rsidRPr="00125E99">
        <w:t>.</w:t>
      </w:r>
      <w:r w:rsidR="007C54D0" w:rsidRPr="00125E99">
        <w:t> </w:t>
      </w:r>
      <w:r w:rsidR="00556643" w:rsidRPr="00125E99">
        <w:t>Небанківський гарант не має право виплачувати дивіденди чи розподіляти капітал небанківського гаранту в будь-якій формі, якщо така виплата чи розподіл призведе до порушення Н1.</w:t>
      </w:r>
    </w:p>
    <w:p w14:paraId="3B5B2C2B" w14:textId="77777777" w:rsidR="00556643" w:rsidRPr="00125E99" w:rsidRDefault="00556643" w:rsidP="002B6A3D">
      <w:pPr>
        <w:ind w:firstLine="567"/>
      </w:pPr>
    </w:p>
    <w:p w14:paraId="6F4164E6" w14:textId="6303433F" w:rsidR="00B457F2" w:rsidRPr="00125E99" w:rsidRDefault="009A3B33" w:rsidP="002B6A3D">
      <w:pPr>
        <w:tabs>
          <w:tab w:val="left" w:pos="851"/>
          <w:tab w:val="left" w:pos="1134"/>
        </w:tabs>
        <w:ind w:firstLine="567"/>
      </w:pPr>
      <w:r w:rsidRPr="00125E99">
        <w:t>19. </w:t>
      </w:r>
      <w:r w:rsidR="00B457F2" w:rsidRPr="00125E99">
        <w:t>Нормативне значення Н1 має бути не менше ніж 10 відсотків.</w:t>
      </w:r>
    </w:p>
    <w:p w14:paraId="7C44C98B" w14:textId="2854EFCE" w:rsidR="00B23575" w:rsidRPr="00125E99" w:rsidRDefault="00B23575" w:rsidP="002B6A3D">
      <w:pPr>
        <w:pStyle w:val="afc"/>
        <w:tabs>
          <w:tab w:val="left" w:pos="709"/>
          <w:tab w:val="left" w:pos="1134"/>
        </w:tabs>
        <w:ind w:firstLine="567"/>
        <w:rPr>
          <w:sz w:val="28"/>
          <w:szCs w:val="28"/>
          <w:shd w:val="clear" w:color="auto" w:fill="FFFFFF"/>
        </w:rPr>
      </w:pPr>
    </w:p>
    <w:p w14:paraId="5452D5F8" w14:textId="77777777" w:rsidR="00464DBF" w:rsidRPr="00125E99" w:rsidRDefault="00464DBF" w:rsidP="009272D4">
      <w:pPr>
        <w:widowControl w:val="0"/>
        <w:shd w:val="clear" w:color="auto" w:fill="FFFFFF"/>
        <w:tabs>
          <w:tab w:val="left" w:pos="1134"/>
        </w:tabs>
        <w:jc w:val="center"/>
        <w:outlineLvl w:val="0"/>
      </w:pPr>
    </w:p>
    <w:p w14:paraId="36449DAD" w14:textId="0F37C03A" w:rsidR="009272D4" w:rsidRPr="00125E99" w:rsidRDefault="0026459E" w:rsidP="009272D4">
      <w:pPr>
        <w:widowControl w:val="0"/>
        <w:shd w:val="clear" w:color="auto" w:fill="FFFFFF"/>
        <w:tabs>
          <w:tab w:val="left" w:pos="1134"/>
        </w:tabs>
        <w:jc w:val="center"/>
        <w:outlineLvl w:val="0"/>
      </w:pPr>
      <w:r w:rsidRPr="00125E99">
        <w:t>І</w:t>
      </w:r>
      <w:r w:rsidR="009272D4" w:rsidRPr="00125E99">
        <w:t xml:space="preserve">V. Норматив запасу ліквідності </w:t>
      </w:r>
    </w:p>
    <w:p w14:paraId="0161CA26" w14:textId="77777777" w:rsidR="009272D4" w:rsidRPr="00125E99" w:rsidRDefault="009272D4" w:rsidP="009272D4">
      <w:pPr>
        <w:shd w:val="clear" w:color="auto" w:fill="FFFFFF"/>
        <w:tabs>
          <w:tab w:val="left" w:pos="709"/>
        </w:tabs>
      </w:pPr>
    </w:p>
    <w:p w14:paraId="39020205" w14:textId="68D6199B" w:rsidR="009272D4" w:rsidRPr="00125E99" w:rsidRDefault="009272D4" w:rsidP="002B6A3D">
      <w:pPr>
        <w:pStyle w:val="afc"/>
        <w:tabs>
          <w:tab w:val="left" w:pos="639"/>
          <w:tab w:val="left" w:pos="709"/>
          <w:tab w:val="left" w:pos="993"/>
          <w:tab w:val="left" w:pos="1134"/>
        </w:tabs>
        <w:ind w:firstLine="567"/>
        <w:rPr>
          <w:sz w:val="28"/>
          <w:szCs w:val="28"/>
        </w:rPr>
      </w:pPr>
      <w:r w:rsidRPr="00125E99">
        <w:rPr>
          <w:sz w:val="28"/>
          <w:szCs w:val="28"/>
        </w:rPr>
        <w:t>2</w:t>
      </w:r>
      <w:r w:rsidR="009A3B33" w:rsidRPr="00125E99">
        <w:rPr>
          <w:sz w:val="28"/>
          <w:szCs w:val="28"/>
        </w:rPr>
        <w:t>0</w:t>
      </w:r>
      <w:r w:rsidRPr="00125E99">
        <w:rPr>
          <w:sz w:val="28"/>
          <w:szCs w:val="28"/>
        </w:rPr>
        <w:t>. </w:t>
      </w:r>
      <w:r w:rsidR="006D67B7" w:rsidRPr="00125E99">
        <w:rPr>
          <w:sz w:val="28"/>
          <w:szCs w:val="28"/>
        </w:rPr>
        <w:t>Н2</w:t>
      </w:r>
      <w:r w:rsidR="007C54D0" w:rsidRPr="00125E99">
        <w:rPr>
          <w:sz w:val="28"/>
          <w:szCs w:val="28"/>
        </w:rPr>
        <w:t xml:space="preserve"> </w:t>
      </w:r>
      <w:r w:rsidRPr="00125E99">
        <w:rPr>
          <w:sz w:val="28"/>
          <w:szCs w:val="28"/>
        </w:rPr>
        <w:t xml:space="preserve">визначається як співвідношення високоліквідних активів </w:t>
      </w:r>
      <w:r w:rsidR="00E91AAE" w:rsidRPr="00125E99">
        <w:rPr>
          <w:sz w:val="28"/>
          <w:szCs w:val="28"/>
        </w:rPr>
        <w:t xml:space="preserve">небанківського гаранта </w:t>
      </w:r>
      <w:r w:rsidRPr="00125E99">
        <w:rPr>
          <w:sz w:val="28"/>
          <w:szCs w:val="28"/>
        </w:rPr>
        <w:t xml:space="preserve">до </w:t>
      </w:r>
      <w:r w:rsidR="00E91AAE" w:rsidRPr="00125E99">
        <w:rPr>
          <w:sz w:val="28"/>
          <w:szCs w:val="28"/>
        </w:rPr>
        <w:t xml:space="preserve">його </w:t>
      </w:r>
      <w:proofErr w:type="spellStart"/>
      <w:r w:rsidRPr="00125E99">
        <w:rPr>
          <w:sz w:val="28"/>
          <w:szCs w:val="28"/>
        </w:rPr>
        <w:t>зобов</w:t>
      </w:r>
      <w:r w:rsidR="00D93D54" w:rsidRPr="00125E99">
        <w:rPr>
          <w:sz w:val="28"/>
          <w:szCs w:val="28"/>
        </w:rPr>
        <w:t>ʼ</w:t>
      </w:r>
      <w:r w:rsidRPr="00125E99">
        <w:rPr>
          <w:sz w:val="28"/>
          <w:szCs w:val="28"/>
        </w:rPr>
        <w:t>язань</w:t>
      </w:r>
      <w:proofErr w:type="spellEnd"/>
      <w:r w:rsidRPr="00125E99">
        <w:rPr>
          <w:sz w:val="28"/>
          <w:szCs w:val="28"/>
        </w:rPr>
        <w:t>.</w:t>
      </w:r>
    </w:p>
    <w:p w14:paraId="6323D187" w14:textId="77777777" w:rsidR="00D93D54" w:rsidRPr="00125E99" w:rsidRDefault="00D93D54" w:rsidP="002B6A3D">
      <w:pPr>
        <w:pStyle w:val="afc"/>
        <w:tabs>
          <w:tab w:val="left" w:pos="639"/>
          <w:tab w:val="left" w:pos="709"/>
          <w:tab w:val="left" w:pos="993"/>
          <w:tab w:val="left" w:pos="1134"/>
        </w:tabs>
        <w:ind w:firstLine="567"/>
        <w:rPr>
          <w:sz w:val="28"/>
          <w:szCs w:val="28"/>
        </w:rPr>
      </w:pPr>
    </w:p>
    <w:p w14:paraId="5E3842A0" w14:textId="78A13369" w:rsidR="009272D4" w:rsidRPr="00125E99" w:rsidRDefault="009272D4" w:rsidP="002B6A3D">
      <w:pPr>
        <w:pStyle w:val="afc"/>
        <w:tabs>
          <w:tab w:val="left" w:pos="639"/>
          <w:tab w:val="left" w:pos="709"/>
          <w:tab w:val="left" w:pos="993"/>
          <w:tab w:val="left" w:pos="1134"/>
        </w:tabs>
        <w:ind w:firstLine="567"/>
        <w:rPr>
          <w:sz w:val="28"/>
          <w:szCs w:val="28"/>
        </w:rPr>
      </w:pPr>
      <w:r w:rsidRPr="00125E99">
        <w:rPr>
          <w:sz w:val="28"/>
          <w:szCs w:val="28"/>
        </w:rPr>
        <w:t>2</w:t>
      </w:r>
      <w:r w:rsidR="009A3B33" w:rsidRPr="00125E99">
        <w:rPr>
          <w:sz w:val="28"/>
          <w:szCs w:val="28"/>
        </w:rPr>
        <w:t>1</w:t>
      </w:r>
      <w:r w:rsidRPr="00125E99">
        <w:rPr>
          <w:sz w:val="28"/>
          <w:szCs w:val="28"/>
        </w:rPr>
        <w:t>.</w:t>
      </w:r>
      <w:r w:rsidR="008C6DD2" w:rsidRPr="00125E99">
        <w:rPr>
          <w:sz w:val="28"/>
          <w:szCs w:val="28"/>
        </w:rPr>
        <w:t xml:space="preserve"> </w:t>
      </w:r>
      <w:r w:rsidR="00D93D54" w:rsidRPr="00125E99">
        <w:rPr>
          <w:sz w:val="28"/>
          <w:szCs w:val="28"/>
        </w:rPr>
        <w:t>Небанківський гарант включає д</w:t>
      </w:r>
      <w:r w:rsidRPr="00125E99">
        <w:rPr>
          <w:sz w:val="28"/>
          <w:szCs w:val="28"/>
        </w:rPr>
        <w:t>о високоліквідних активів під час розрахунку Н2</w:t>
      </w:r>
      <w:r w:rsidR="00D93D54" w:rsidRPr="00125E99">
        <w:rPr>
          <w:sz w:val="28"/>
          <w:szCs w:val="28"/>
        </w:rPr>
        <w:t xml:space="preserve"> грошові кошти та їх еквіваленти (за виключенням грошових коштів та їх еквівалентів, використання яких обмежено, та/або за виключенням грошових коштів на рахунках у банках, що віднесені до категорії неплатоспроможних)</w:t>
      </w:r>
      <w:r w:rsidR="00BB2ED2" w:rsidRPr="00125E99">
        <w:rPr>
          <w:sz w:val="28"/>
          <w:szCs w:val="28"/>
        </w:rPr>
        <w:t>.</w:t>
      </w:r>
    </w:p>
    <w:p w14:paraId="58DA3997" w14:textId="5981DDD1" w:rsidR="00D93D54" w:rsidRPr="00125E99" w:rsidRDefault="00D93D54" w:rsidP="002B6A3D">
      <w:pPr>
        <w:pStyle w:val="afc"/>
        <w:tabs>
          <w:tab w:val="left" w:pos="639"/>
          <w:tab w:val="left" w:pos="709"/>
          <w:tab w:val="left" w:pos="993"/>
          <w:tab w:val="left" w:pos="1134"/>
        </w:tabs>
        <w:ind w:firstLine="567"/>
        <w:rPr>
          <w:sz w:val="28"/>
          <w:szCs w:val="28"/>
        </w:rPr>
      </w:pPr>
    </w:p>
    <w:p w14:paraId="7FA72738" w14:textId="5B3E36C2" w:rsidR="009272D4" w:rsidRPr="00125E99" w:rsidRDefault="009272D4" w:rsidP="002B6A3D">
      <w:pPr>
        <w:pStyle w:val="afc"/>
        <w:tabs>
          <w:tab w:val="left" w:pos="639"/>
          <w:tab w:val="left" w:pos="709"/>
          <w:tab w:val="left" w:pos="993"/>
          <w:tab w:val="left" w:pos="1134"/>
        </w:tabs>
        <w:ind w:firstLine="567"/>
        <w:rPr>
          <w:sz w:val="28"/>
          <w:szCs w:val="28"/>
        </w:rPr>
      </w:pPr>
      <w:r w:rsidRPr="00125E99">
        <w:rPr>
          <w:sz w:val="28"/>
          <w:szCs w:val="28"/>
        </w:rPr>
        <w:t>2</w:t>
      </w:r>
      <w:r w:rsidR="009A3B33" w:rsidRPr="00125E99">
        <w:rPr>
          <w:sz w:val="28"/>
          <w:szCs w:val="28"/>
        </w:rPr>
        <w:t>2</w:t>
      </w:r>
      <w:r w:rsidRPr="00125E99">
        <w:rPr>
          <w:sz w:val="28"/>
          <w:szCs w:val="28"/>
        </w:rPr>
        <w:t xml:space="preserve">. </w:t>
      </w:r>
      <w:r w:rsidR="00D93D54" w:rsidRPr="00125E99">
        <w:rPr>
          <w:sz w:val="28"/>
          <w:szCs w:val="28"/>
        </w:rPr>
        <w:t>Небанківський гарант включає д</w:t>
      </w:r>
      <w:r w:rsidRPr="00125E99">
        <w:rPr>
          <w:sz w:val="28"/>
          <w:szCs w:val="28"/>
        </w:rPr>
        <w:t xml:space="preserve">о </w:t>
      </w:r>
      <w:proofErr w:type="spellStart"/>
      <w:r w:rsidRPr="00125E99">
        <w:rPr>
          <w:sz w:val="28"/>
          <w:szCs w:val="28"/>
        </w:rPr>
        <w:t>зобов</w:t>
      </w:r>
      <w:r w:rsidR="00D93D54" w:rsidRPr="00125E99">
        <w:rPr>
          <w:sz w:val="28"/>
          <w:szCs w:val="28"/>
        </w:rPr>
        <w:t>ʼ</w:t>
      </w:r>
      <w:r w:rsidRPr="00125E99">
        <w:rPr>
          <w:sz w:val="28"/>
          <w:szCs w:val="28"/>
        </w:rPr>
        <w:t>язань</w:t>
      </w:r>
      <w:proofErr w:type="spellEnd"/>
      <w:r w:rsidRPr="00125E99">
        <w:rPr>
          <w:sz w:val="28"/>
          <w:szCs w:val="28"/>
        </w:rPr>
        <w:t xml:space="preserve"> небанківського гаранта під час розрахунку </w:t>
      </w:r>
      <w:r w:rsidR="00BE0924" w:rsidRPr="00125E99">
        <w:rPr>
          <w:sz w:val="28"/>
          <w:szCs w:val="28"/>
        </w:rPr>
        <w:t>Н2</w:t>
      </w:r>
      <w:r w:rsidRPr="00125E99">
        <w:rPr>
          <w:sz w:val="28"/>
          <w:szCs w:val="28"/>
        </w:rPr>
        <w:t>:</w:t>
      </w:r>
    </w:p>
    <w:p w14:paraId="2713192E" w14:textId="77777777" w:rsidR="00D93D54" w:rsidRPr="00125E99" w:rsidRDefault="00D93D54" w:rsidP="002B6A3D">
      <w:pPr>
        <w:pStyle w:val="afc"/>
        <w:tabs>
          <w:tab w:val="left" w:pos="639"/>
          <w:tab w:val="left" w:pos="709"/>
          <w:tab w:val="left" w:pos="993"/>
          <w:tab w:val="left" w:pos="1134"/>
        </w:tabs>
        <w:ind w:firstLine="567"/>
        <w:rPr>
          <w:sz w:val="28"/>
          <w:szCs w:val="28"/>
        </w:rPr>
      </w:pPr>
    </w:p>
    <w:p w14:paraId="7AE92462" w14:textId="68F18E06" w:rsidR="00BE0924" w:rsidRPr="00125E99" w:rsidRDefault="00BE0924" w:rsidP="002B6A3D">
      <w:pPr>
        <w:pStyle w:val="afc"/>
        <w:numPr>
          <w:ilvl w:val="0"/>
          <w:numId w:val="6"/>
        </w:numPr>
        <w:tabs>
          <w:tab w:val="left" w:pos="639"/>
          <w:tab w:val="left" w:pos="709"/>
          <w:tab w:val="left" w:pos="851"/>
          <w:tab w:val="left" w:pos="993"/>
        </w:tabs>
        <w:ind w:left="0" w:firstLine="567"/>
        <w:rPr>
          <w:sz w:val="28"/>
          <w:szCs w:val="28"/>
        </w:rPr>
      </w:pPr>
      <w:r w:rsidRPr="00125E99">
        <w:rPr>
          <w:sz w:val="28"/>
          <w:szCs w:val="28"/>
        </w:rPr>
        <w:t>поточні зобов’язання і забезпечення небанківського гаранта;</w:t>
      </w:r>
    </w:p>
    <w:p w14:paraId="15E25A5E" w14:textId="77777777" w:rsidR="002717EC" w:rsidRPr="00125E99" w:rsidRDefault="002717EC" w:rsidP="002B6A3D">
      <w:pPr>
        <w:pStyle w:val="afc"/>
        <w:tabs>
          <w:tab w:val="left" w:pos="639"/>
          <w:tab w:val="left" w:pos="709"/>
          <w:tab w:val="left" w:pos="1134"/>
        </w:tabs>
        <w:ind w:left="1069" w:firstLine="0"/>
        <w:rPr>
          <w:sz w:val="28"/>
          <w:szCs w:val="28"/>
        </w:rPr>
      </w:pPr>
    </w:p>
    <w:p w14:paraId="2CA792A8" w14:textId="556566FE" w:rsidR="00BE0924" w:rsidRPr="00125E99" w:rsidRDefault="002717EC" w:rsidP="002B6A3D">
      <w:pPr>
        <w:pStyle w:val="afc"/>
        <w:numPr>
          <w:ilvl w:val="0"/>
          <w:numId w:val="6"/>
        </w:numPr>
        <w:tabs>
          <w:tab w:val="left" w:pos="639"/>
          <w:tab w:val="left" w:pos="709"/>
          <w:tab w:val="left" w:pos="851"/>
        </w:tabs>
        <w:ind w:left="0" w:firstLine="567"/>
        <w:rPr>
          <w:sz w:val="28"/>
          <w:szCs w:val="28"/>
        </w:rPr>
      </w:pPr>
      <w:r w:rsidRPr="00125E99">
        <w:rPr>
          <w:sz w:val="28"/>
          <w:szCs w:val="28"/>
        </w:rPr>
        <w:t>загальну суму зобов’язань за всіма видами гарантій/</w:t>
      </w:r>
      <w:proofErr w:type="spellStart"/>
      <w:r w:rsidRPr="00125E99">
        <w:rPr>
          <w:sz w:val="28"/>
          <w:szCs w:val="28"/>
        </w:rPr>
        <w:t>контргарантій</w:t>
      </w:r>
      <w:proofErr w:type="spellEnd"/>
      <w:r w:rsidRPr="00125E99">
        <w:rPr>
          <w:sz w:val="28"/>
          <w:szCs w:val="28"/>
        </w:rPr>
        <w:t>, якими небанківський гарант</w:t>
      </w:r>
      <w:r w:rsidRPr="00125E99" w:rsidDel="002349E3">
        <w:rPr>
          <w:sz w:val="28"/>
          <w:szCs w:val="28"/>
        </w:rPr>
        <w:t xml:space="preserve"> </w:t>
      </w:r>
      <w:r w:rsidRPr="00125E99">
        <w:rPr>
          <w:sz w:val="28"/>
          <w:szCs w:val="28"/>
        </w:rPr>
        <w:t xml:space="preserve"> забезпечив виконання обов’язку принципала</w:t>
      </w:r>
      <w:r w:rsidR="00EF5A96" w:rsidRPr="00125E99">
        <w:rPr>
          <w:sz w:val="28"/>
          <w:szCs w:val="28"/>
        </w:rPr>
        <w:t>/гаранта</w:t>
      </w:r>
      <w:r w:rsidRPr="00125E99">
        <w:rPr>
          <w:sz w:val="28"/>
          <w:szCs w:val="28"/>
        </w:rPr>
        <w:t xml:space="preserve"> перед кредиторами (</w:t>
      </w:r>
      <w:proofErr w:type="spellStart"/>
      <w:r w:rsidRPr="00125E99">
        <w:rPr>
          <w:sz w:val="28"/>
          <w:szCs w:val="28"/>
        </w:rPr>
        <w:t>бенефіціарами</w:t>
      </w:r>
      <w:proofErr w:type="spellEnd"/>
      <w:r w:rsidRPr="00125E99">
        <w:rPr>
          <w:sz w:val="28"/>
          <w:szCs w:val="28"/>
        </w:rPr>
        <w:t>), які мають обліковуватися на балансових та позабалансових рахунках</w:t>
      </w:r>
      <w:r w:rsidR="00BE0924" w:rsidRPr="00125E99">
        <w:rPr>
          <w:sz w:val="28"/>
          <w:szCs w:val="28"/>
        </w:rPr>
        <w:t>.</w:t>
      </w:r>
    </w:p>
    <w:p w14:paraId="62FAEDCF" w14:textId="77777777" w:rsidR="009272D4" w:rsidRPr="00125E99" w:rsidRDefault="009272D4" w:rsidP="002B6A3D">
      <w:pPr>
        <w:shd w:val="clear" w:color="auto" w:fill="FFFFFF"/>
        <w:tabs>
          <w:tab w:val="left" w:pos="709"/>
        </w:tabs>
        <w:ind w:firstLine="0"/>
      </w:pPr>
    </w:p>
    <w:p w14:paraId="4F81F830" w14:textId="7CC794CD" w:rsidR="009272D4" w:rsidRPr="00125E99" w:rsidRDefault="00950C4A" w:rsidP="002B6A3D">
      <w:pPr>
        <w:shd w:val="clear" w:color="auto" w:fill="FFFFFF"/>
        <w:tabs>
          <w:tab w:val="left" w:pos="709"/>
          <w:tab w:val="left" w:pos="1134"/>
        </w:tabs>
        <w:ind w:firstLine="567"/>
      </w:pPr>
      <w:r w:rsidRPr="00125E99">
        <w:t>2</w:t>
      </w:r>
      <w:r w:rsidR="009A3B33" w:rsidRPr="00125E99">
        <w:t>3</w:t>
      </w:r>
      <w:r w:rsidRPr="00125E99">
        <w:t xml:space="preserve">. </w:t>
      </w:r>
      <w:r w:rsidR="009272D4" w:rsidRPr="00125E99">
        <w:t>Нормативне значення Н</w:t>
      </w:r>
      <w:r w:rsidR="00BE0924" w:rsidRPr="00125E99">
        <w:t>2</w:t>
      </w:r>
      <w:r w:rsidR="009272D4" w:rsidRPr="00125E99">
        <w:t xml:space="preserve"> має бути не менше ніж 10 відсотків.</w:t>
      </w:r>
    </w:p>
    <w:p w14:paraId="65D1DEC9" w14:textId="77777777" w:rsidR="009272D4" w:rsidRPr="00125E99" w:rsidRDefault="009272D4" w:rsidP="002B6A3D">
      <w:pPr>
        <w:pStyle w:val="afc"/>
        <w:tabs>
          <w:tab w:val="left" w:pos="709"/>
          <w:tab w:val="left" w:pos="1134"/>
        </w:tabs>
        <w:ind w:firstLine="0"/>
        <w:rPr>
          <w:sz w:val="28"/>
          <w:szCs w:val="28"/>
          <w:shd w:val="clear" w:color="auto" w:fill="FFFFFF"/>
        </w:rPr>
      </w:pPr>
    </w:p>
    <w:p w14:paraId="04A7516E" w14:textId="44A6D350" w:rsidR="00B23575" w:rsidRPr="00125E99" w:rsidRDefault="00B23575" w:rsidP="005C461F">
      <w:pPr>
        <w:pStyle w:val="afc"/>
        <w:tabs>
          <w:tab w:val="left" w:pos="709"/>
          <w:tab w:val="left" w:pos="1134"/>
        </w:tabs>
        <w:jc w:val="center"/>
        <w:outlineLvl w:val="0"/>
        <w:rPr>
          <w:sz w:val="28"/>
          <w:szCs w:val="28"/>
        </w:rPr>
      </w:pPr>
      <w:r w:rsidRPr="00125E99">
        <w:rPr>
          <w:sz w:val="28"/>
          <w:szCs w:val="28"/>
        </w:rPr>
        <w:t xml:space="preserve">V. Норматив максимального ризику на одну особу або групу </w:t>
      </w:r>
      <w:proofErr w:type="spellStart"/>
      <w:r w:rsidRPr="00125E99">
        <w:rPr>
          <w:sz w:val="28"/>
          <w:szCs w:val="28"/>
        </w:rPr>
        <w:t>повʼязаних</w:t>
      </w:r>
      <w:proofErr w:type="spellEnd"/>
      <w:r w:rsidRPr="00125E99">
        <w:rPr>
          <w:sz w:val="28"/>
          <w:szCs w:val="28"/>
        </w:rPr>
        <w:t xml:space="preserve"> осіб</w:t>
      </w:r>
      <w:r w:rsidR="005E7EC3" w:rsidRPr="00125E99">
        <w:rPr>
          <w:sz w:val="28"/>
          <w:szCs w:val="28"/>
        </w:rPr>
        <w:t xml:space="preserve"> </w:t>
      </w:r>
    </w:p>
    <w:p w14:paraId="1E86A244" w14:textId="77777777" w:rsidR="00C211DD" w:rsidRPr="00125E99" w:rsidRDefault="00C211DD" w:rsidP="005C461F">
      <w:pPr>
        <w:pStyle w:val="afc"/>
        <w:tabs>
          <w:tab w:val="left" w:pos="709"/>
          <w:tab w:val="left" w:pos="1134"/>
        </w:tabs>
        <w:jc w:val="center"/>
        <w:outlineLvl w:val="0"/>
        <w:rPr>
          <w:sz w:val="28"/>
          <w:szCs w:val="28"/>
        </w:rPr>
      </w:pPr>
    </w:p>
    <w:p w14:paraId="6993412D" w14:textId="4F056D44" w:rsidR="00BE0924" w:rsidRPr="00125E99" w:rsidRDefault="00950C4A" w:rsidP="002B6A3D">
      <w:pPr>
        <w:pStyle w:val="afc"/>
        <w:tabs>
          <w:tab w:val="left" w:pos="709"/>
          <w:tab w:val="left" w:pos="1134"/>
        </w:tabs>
        <w:ind w:firstLine="567"/>
        <w:rPr>
          <w:sz w:val="28"/>
          <w:szCs w:val="28"/>
        </w:rPr>
      </w:pPr>
      <w:bookmarkStart w:id="13" w:name="n393"/>
      <w:bookmarkEnd w:id="13"/>
      <w:r w:rsidRPr="00125E99">
        <w:rPr>
          <w:sz w:val="28"/>
          <w:szCs w:val="28"/>
        </w:rPr>
        <w:t>2</w:t>
      </w:r>
      <w:r w:rsidR="009A3B33" w:rsidRPr="00125E99">
        <w:rPr>
          <w:sz w:val="28"/>
          <w:szCs w:val="28"/>
        </w:rPr>
        <w:t>4</w:t>
      </w:r>
      <w:r w:rsidR="00BE0924" w:rsidRPr="00125E99">
        <w:rPr>
          <w:sz w:val="28"/>
          <w:szCs w:val="28"/>
        </w:rPr>
        <w:t xml:space="preserve">. </w:t>
      </w:r>
      <w:r w:rsidR="002717EC" w:rsidRPr="00125E99">
        <w:rPr>
          <w:sz w:val="28"/>
          <w:szCs w:val="28"/>
        </w:rPr>
        <w:t>Н</w:t>
      </w:r>
      <w:r w:rsidR="00036637" w:rsidRPr="00125E99">
        <w:rPr>
          <w:sz w:val="28"/>
          <w:szCs w:val="28"/>
        </w:rPr>
        <w:t>3</w:t>
      </w:r>
      <w:r w:rsidR="00BE0924" w:rsidRPr="00125E99">
        <w:rPr>
          <w:sz w:val="28"/>
          <w:szCs w:val="28"/>
        </w:rPr>
        <w:t xml:space="preserve"> </w:t>
      </w:r>
      <w:r w:rsidR="007527B5" w:rsidRPr="00125E99">
        <w:rPr>
          <w:sz w:val="28"/>
          <w:szCs w:val="28"/>
        </w:rPr>
        <w:t xml:space="preserve">визначається як </w:t>
      </w:r>
      <w:r w:rsidR="00BE0924" w:rsidRPr="00125E99">
        <w:rPr>
          <w:sz w:val="28"/>
          <w:szCs w:val="28"/>
        </w:rPr>
        <w:t xml:space="preserve">співвідношення суми всіх вимог небанківського гаранта до </w:t>
      </w:r>
      <w:r w:rsidR="00D50B44" w:rsidRPr="00125E99">
        <w:rPr>
          <w:sz w:val="28"/>
          <w:szCs w:val="28"/>
        </w:rPr>
        <w:t>принципала</w:t>
      </w:r>
      <w:r w:rsidR="00BE0924" w:rsidRPr="00125E99">
        <w:rPr>
          <w:sz w:val="28"/>
          <w:szCs w:val="28"/>
        </w:rPr>
        <w:t xml:space="preserve"> або групи </w:t>
      </w:r>
      <w:proofErr w:type="spellStart"/>
      <w:r w:rsidR="00BE0924" w:rsidRPr="00125E99">
        <w:rPr>
          <w:sz w:val="28"/>
          <w:szCs w:val="28"/>
        </w:rPr>
        <w:t>пов</w:t>
      </w:r>
      <w:r w:rsidR="00D50B44" w:rsidRPr="00125E99">
        <w:rPr>
          <w:sz w:val="28"/>
          <w:szCs w:val="28"/>
        </w:rPr>
        <w:t>ʼ</w:t>
      </w:r>
      <w:r w:rsidR="00BE0924" w:rsidRPr="00125E99">
        <w:rPr>
          <w:sz w:val="28"/>
          <w:szCs w:val="28"/>
        </w:rPr>
        <w:t>язаних</w:t>
      </w:r>
      <w:proofErr w:type="spellEnd"/>
      <w:r w:rsidR="00BE0924" w:rsidRPr="00125E99">
        <w:rPr>
          <w:sz w:val="28"/>
          <w:szCs w:val="28"/>
        </w:rPr>
        <w:t xml:space="preserve"> </w:t>
      </w:r>
      <w:r w:rsidR="00D50B44" w:rsidRPr="00125E99">
        <w:rPr>
          <w:sz w:val="28"/>
          <w:szCs w:val="28"/>
        </w:rPr>
        <w:t xml:space="preserve">осіб </w:t>
      </w:r>
      <w:r w:rsidR="00BE0924" w:rsidRPr="00125E99">
        <w:rPr>
          <w:sz w:val="28"/>
          <w:szCs w:val="28"/>
        </w:rPr>
        <w:t xml:space="preserve">та всіх фінансових </w:t>
      </w:r>
      <w:proofErr w:type="spellStart"/>
      <w:r w:rsidR="00BE0924" w:rsidRPr="00125E99">
        <w:rPr>
          <w:sz w:val="28"/>
          <w:szCs w:val="28"/>
        </w:rPr>
        <w:t>зобов</w:t>
      </w:r>
      <w:r w:rsidR="00D50B44" w:rsidRPr="00125E99">
        <w:rPr>
          <w:sz w:val="28"/>
          <w:szCs w:val="28"/>
        </w:rPr>
        <w:t>ʼ</w:t>
      </w:r>
      <w:r w:rsidR="00BE0924" w:rsidRPr="00125E99">
        <w:rPr>
          <w:sz w:val="28"/>
          <w:szCs w:val="28"/>
        </w:rPr>
        <w:t>язань</w:t>
      </w:r>
      <w:proofErr w:type="spellEnd"/>
      <w:r w:rsidR="00BE0924" w:rsidRPr="00125E99">
        <w:rPr>
          <w:sz w:val="28"/>
          <w:szCs w:val="28"/>
        </w:rPr>
        <w:t xml:space="preserve">, наданих </w:t>
      </w:r>
      <w:r w:rsidR="00E12E34" w:rsidRPr="00125E99">
        <w:rPr>
          <w:sz w:val="28"/>
          <w:szCs w:val="28"/>
        </w:rPr>
        <w:t>небанківським гарантом</w:t>
      </w:r>
      <w:r w:rsidR="00BE0924" w:rsidRPr="00125E99">
        <w:rPr>
          <w:sz w:val="28"/>
          <w:szCs w:val="28"/>
        </w:rPr>
        <w:t xml:space="preserve"> щодо </w:t>
      </w:r>
      <w:r w:rsidR="00D50B44" w:rsidRPr="00125E99">
        <w:rPr>
          <w:sz w:val="28"/>
          <w:szCs w:val="28"/>
        </w:rPr>
        <w:t>принципала</w:t>
      </w:r>
      <w:r w:rsidR="00BE0924" w:rsidRPr="00125E99">
        <w:rPr>
          <w:sz w:val="28"/>
          <w:szCs w:val="28"/>
        </w:rPr>
        <w:t xml:space="preserve"> або групи </w:t>
      </w:r>
      <w:proofErr w:type="spellStart"/>
      <w:r w:rsidR="00BE0924" w:rsidRPr="00125E99">
        <w:rPr>
          <w:sz w:val="28"/>
          <w:szCs w:val="28"/>
        </w:rPr>
        <w:t>пов</w:t>
      </w:r>
      <w:r w:rsidR="00D50B44" w:rsidRPr="00125E99">
        <w:rPr>
          <w:sz w:val="28"/>
          <w:szCs w:val="28"/>
        </w:rPr>
        <w:t>ʼ</w:t>
      </w:r>
      <w:r w:rsidR="00BE0924" w:rsidRPr="00125E99">
        <w:rPr>
          <w:sz w:val="28"/>
          <w:szCs w:val="28"/>
        </w:rPr>
        <w:t>язаних</w:t>
      </w:r>
      <w:proofErr w:type="spellEnd"/>
      <w:r w:rsidR="00BE0924" w:rsidRPr="00125E99">
        <w:rPr>
          <w:sz w:val="28"/>
          <w:szCs w:val="28"/>
        </w:rPr>
        <w:t xml:space="preserve"> </w:t>
      </w:r>
      <w:r w:rsidR="00D50B44" w:rsidRPr="00125E99">
        <w:rPr>
          <w:sz w:val="28"/>
          <w:szCs w:val="28"/>
        </w:rPr>
        <w:t>осіб</w:t>
      </w:r>
      <w:r w:rsidR="00BE0924" w:rsidRPr="00125E99">
        <w:rPr>
          <w:sz w:val="28"/>
          <w:szCs w:val="28"/>
        </w:rPr>
        <w:t xml:space="preserve">, до регулятивного капіталу </w:t>
      </w:r>
      <w:r w:rsidR="00E12E34" w:rsidRPr="00125E99">
        <w:rPr>
          <w:sz w:val="28"/>
          <w:szCs w:val="28"/>
        </w:rPr>
        <w:t>небанківського гаранта</w:t>
      </w:r>
      <w:r w:rsidR="00BE0924" w:rsidRPr="00125E99">
        <w:rPr>
          <w:sz w:val="28"/>
          <w:szCs w:val="28"/>
        </w:rPr>
        <w:t>.</w:t>
      </w:r>
    </w:p>
    <w:p w14:paraId="7AC27DF2" w14:textId="702FFC16" w:rsidR="00E12E34" w:rsidRPr="00125E99" w:rsidRDefault="00D50B44" w:rsidP="002B6A3D">
      <w:pPr>
        <w:pStyle w:val="afc"/>
        <w:tabs>
          <w:tab w:val="left" w:pos="709"/>
          <w:tab w:val="left" w:pos="1134"/>
        </w:tabs>
        <w:ind w:firstLine="567"/>
        <w:rPr>
          <w:sz w:val="28"/>
          <w:szCs w:val="28"/>
        </w:rPr>
      </w:pPr>
      <w:r w:rsidRPr="00125E99">
        <w:rPr>
          <w:sz w:val="28"/>
          <w:szCs w:val="28"/>
        </w:rPr>
        <w:t>Небанківський гарант, я</w:t>
      </w:r>
      <w:r w:rsidR="00E12E34" w:rsidRPr="00125E99">
        <w:rPr>
          <w:sz w:val="28"/>
          <w:szCs w:val="28"/>
        </w:rPr>
        <w:t xml:space="preserve">кщо один </w:t>
      </w:r>
      <w:r w:rsidRPr="00125E99">
        <w:rPr>
          <w:sz w:val="28"/>
          <w:szCs w:val="28"/>
        </w:rPr>
        <w:t>принципал</w:t>
      </w:r>
      <w:r w:rsidR="00E12E34" w:rsidRPr="00125E99">
        <w:rPr>
          <w:sz w:val="28"/>
          <w:szCs w:val="28"/>
        </w:rPr>
        <w:t xml:space="preserve"> </w:t>
      </w:r>
      <w:r w:rsidRPr="00125E99">
        <w:rPr>
          <w:sz w:val="28"/>
          <w:szCs w:val="28"/>
        </w:rPr>
        <w:t xml:space="preserve">належить </w:t>
      </w:r>
      <w:r w:rsidR="00E12E34" w:rsidRPr="00125E99">
        <w:rPr>
          <w:sz w:val="28"/>
          <w:szCs w:val="28"/>
        </w:rPr>
        <w:t xml:space="preserve">одночасно до складу кількох груп пов’язаних </w:t>
      </w:r>
      <w:r w:rsidRPr="00125E99">
        <w:rPr>
          <w:sz w:val="28"/>
          <w:szCs w:val="28"/>
        </w:rPr>
        <w:t>осіб</w:t>
      </w:r>
      <w:r w:rsidR="00E12E34" w:rsidRPr="00125E99">
        <w:rPr>
          <w:sz w:val="28"/>
          <w:szCs w:val="28"/>
        </w:rPr>
        <w:t xml:space="preserve">, </w:t>
      </w:r>
      <w:r w:rsidR="00036637" w:rsidRPr="00125E99">
        <w:rPr>
          <w:sz w:val="28"/>
          <w:szCs w:val="28"/>
        </w:rPr>
        <w:t>враховує під час розрахунку Н3</w:t>
      </w:r>
      <w:r w:rsidRPr="00125E99">
        <w:rPr>
          <w:sz w:val="28"/>
          <w:szCs w:val="28"/>
        </w:rPr>
        <w:t xml:space="preserve"> </w:t>
      </w:r>
      <w:r w:rsidR="00E12E34" w:rsidRPr="00125E99">
        <w:rPr>
          <w:sz w:val="28"/>
          <w:szCs w:val="28"/>
        </w:rPr>
        <w:t>сум</w:t>
      </w:r>
      <w:r w:rsidRPr="00125E99">
        <w:rPr>
          <w:sz w:val="28"/>
          <w:szCs w:val="28"/>
        </w:rPr>
        <w:t>у</w:t>
      </w:r>
      <w:r w:rsidR="00E12E34" w:rsidRPr="00125E99">
        <w:rPr>
          <w:sz w:val="28"/>
          <w:szCs w:val="28"/>
        </w:rPr>
        <w:t xml:space="preserve"> всіх вимог </w:t>
      </w:r>
      <w:r w:rsidR="00E12E34" w:rsidRPr="00125E99">
        <w:rPr>
          <w:sz w:val="28"/>
          <w:szCs w:val="28"/>
        </w:rPr>
        <w:lastRenderedPageBreak/>
        <w:t>небанківського гар</w:t>
      </w:r>
      <w:r w:rsidRPr="00125E99">
        <w:rPr>
          <w:sz w:val="28"/>
          <w:szCs w:val="28"/>
        </w:rPr>
        <w:t>а</w:t>
      </w:r>
      <w:r w:rsidR="00E12E34" w:rsidRPr="00125E99">
        <w:rPr>
          <w:sz w:val="28"/>
          <w:szCs w:val="28"/>
        </w:rPr>
        <w:t xml:space="preserve">нта до </w:t>
      </w:r>
      <w:r w:rsidRPr="00125E99">
        <w:rPr>
          <w:sz w:val="28"/>
          <w:szCs w:val="28"/>
        </w:rPr>
        <w:t>принципала</w:t>
      </w:r>
      <w:r w:rsidR="00E12E34" w:rsidRPr="00125E99">
        <w:rPr>
          <w:sz w:val="28"/>
          <w:szCs w:val="28"/>
        </w:rPr>
        <w:t xml:space="preserve"> та всіх фінансових зобов’язань, наданих небанківським гар</w:t>
      </w:r>
      <w:r w:rsidRPr="00125E99">
        <w:rPr>
          <w:sz w:val="28"/>
          <w:szCs w:val="28"/>
        </w:rPr>
        <w:t>а</w:t>
      </w:r>
      <w:r w:rsidR="00E12E34" w:rsidRPr="00125E99">
        <w:rPr>
          <w:sz w:val="28"/>
          <w:szCs w:val="28"/>
        </w:rPr>
        <w:t>нтом щодо цього</w:t>
      </w:r>
      <w:r w:rsidRPr="00125E99">
        <w:rPr>
          <w:sz w:val="28"/>
          <w:szCs w:val="28"/>
        </w:rPr>
        <w:t xml:space="preserve"> принципала</w:t>
      </w:r>
      <w:r w:rsidR="00E12E34" w:rsidRPr="00125E99">
        <w:rPr>
          <w:sz w:val="28"/>
          <w:szCs w:val="28"/>
        </w:rPr>
        <w:t xml:space="preserve">, за кожною групою пов’язаних </w:t>
      </w:r>
      <w:r w:rsidRPr="00125E99">
        <w:rPr>
          <w:sz w:val="28"/>
          <w:szCs w:val="28"/>
        </w:rPr>
        <w:t>осіб</w:t>
      </w:r>
      <w:r w:rsidR="00E12E34" w:rsidRPr="00125E99">
        <w:rPr>
          <w:sz w:val="28"/>
          <w:szCs w:val="28"/>
        </w:rPr>
        <w:t>.</w:t>
      </w:r>
    </w:p>
    <w:p w14:paraId="2AF472B2" w14:textId="13CA1988" w:rsidR="00E12E34" w:rsidRPr="00125E99" w:rsidRDefault="00E12E34" w:rsidP="002B6A3D">
      <w:pPr>
        <w:pStyle w:val="afc"/>
        <w:tabs>
          <w:tab w:val="left" w:pos="709"/>
          <w:tab w:val="left" w:pos="1134"/>
        </w:tabs>
        <w:ind w:firstLine="567"/>
        <w:rPr>
          <w:sz w:val="28"/>
          <w:szCs w:val="28"/>
        </w:rPr>
      </w:pPr>
    </w:p>
    <w:p w14:paraId="2D55138C" w14:textId="1E3DB54D" w:rsidR="00E12E34" w:rsidRPr="00125E99" w:rsidRDefault="007C54D0" w:rsidP="002B6A3D">
      <w:pPr>
        <w:shd w:val="clear" w:color="auto" w:fill="FFFFFF"/>
        <w:tabs>
          <w:tab w:val="left" w:pos="709"/>
        </w:tabs>
        <w:ind w:firstLine="567"/>
      </w:pPr>
      <w:r w:rsidRPr="00125E99">
        <w:t>2</w:t>
      </w:r>
      <w:r w:rsidR="009A3B33" w:rsidRPr="00125E99">
        <w:t>5</w:t>
      </w:r>
      <w:r w:rsidR="00E12E34" w:rsidRPr="00125E99">
        <w:t>.</w:t>
      </w:r>
      <w:r w:rsidR="008C6DD2" w:rsidRPr="00125E99">
        <w:t> </w:t>
      </w:r>
      <w:r w:rsidR="00033B34" w:rsidRPr="00125E99">
        <w:t xml:space="preserve">Небанківський гарант включає </w:t>
      </w:r>
      <w:r w:rsidR="00036637" w:rsidRPr="00125E99">
        <w:t>під час розрахунку Н3</w:t>
      </w:r>
      <w:r w:rsidR="00033B34" w:rsidRPr="00125E99">
        <w:t xml:space="preserve"> д</w:t>
      </w:r>
      <w:r w:rsidR="00E12E34" w:rsidRPr="00125E99">
        <w:t xml:space="preserve">о вимог небанківського гаранта щодо </w:t>
      </w:r>
      <w:r w:rsidR="00D50B44" w:rsidRPr="00125E99">
        <w:t>принципала</w:t>
      </w:r>
      <w:r w:rsidR="00E12E34" w:rsidRPr="00125E99">
        <w:t xml:space="preserve"> або групи </w:t>
      </w:r>
      <w:proofErr w:type="spellStart"/>
      <w:r w:rsidR="00E12E34" w:rsidRPr="00125E99">
        <w:t>пов</w:t>
      </w:r>
      <w:r w:rsidR="00D50B44" w:rsidRPr="00125E99">
        <w:t>ʼ</w:t>
      </w:r>
      <w:r w:rsidR="00E12E34" w:rsidRPr="00125E99">
        <w:t>язаних</w:t>
      </w:r>
      <w:proofErr w:type="spellEnd"/>
      <w:r w:rsidR="00E12E34" w:rsidRPr="00125E99">
        <w:t xml:space="preserve"> </w:t>
      </w:r>
      <w:r w:rsidR="00033B34" w:rsidRPr="00125E99">
        <w:t>осіб</w:t>
      </w:r>
      <w:r w:rsidR="00AA4855" w:rsidRPr="00125E99">
        <w:t xml:space="preserve"> права вимоги до принципала або до групи </w:t>
      </w:r>
      <w:proofErr w:type="spellStart"/>
      <w:r w:rsidR="00AA4855" w:rsidRPr="00125E99">
        <w:t>повʼязаних</w:t>
      </w:r>
      <w:proofErr w:type="spellEnd"/>
      <w:r w:rsidR="00AA4855" w:rsidRPr="00125E99">
        <w:t xml:space="preserve"> осіб за</w:t>
      </w:r>
      <w:r w:rsidR="00E12E34" w:rsidRPr="00125E99">
        <w:t>:</w:t>
      </w:r>
    </w:p>
    <w:p w14:paraId="5F07E0C3" w14:textId="77777777" w:rsidR="00036637" w:rsidRPr="00125E99" w:rsidRDefault="00036637" w:rsidP="00E12E34">
      <w:pPr>
        <w:shd w:val="clear" w:color="auto" w:fill="FFFFFF"/>
        <w:tabs>
          <w:tab w:val="left" w:pos="709"/>
        </w:tabs>
      </w:pPr>
    </w:p>
    <w:p w14:paraId="33DBAE23" w14:textId="1B4E7BF0" w:rsidR="00E12E34" w:rsidRPr="00125E99" w:rsidRDefault="00E12E34" w:rsidP="002B6A3D">
      <w:pPr>
        <w:pStyle w:val="afb"/>
        <w:numPr>
          <w:ilvl w:val="0"/>
          <w:numId w:val="12"/>
        </w:numPr>
        <w:shd w:val="clear" w:color="auto" w:fill="FFFFFF"/>
        <w:tabs>
          <w:tab w:val="left" w:pos="709"/>
          <w:tab w:val="left" w:pos="851"/>
          <w:tab w:val="left" w:pos="993"/>
        </w:tabs>
        <w:ind w:left="0" w:firstLine="567"/>
      </w:pPr>
      <w:r w:rsidRPr="00125E99">
        <w:t>надан</w:t>
      </w:r>
      <w:r w:rsidR="00AA4855" w:rsidRPr="00125E99">
        <w:t>ими</w:t>
      </w:r>
      <w:r w:rsidRPr="00125E99">
        <w:t xml:space="preserve"> кредит</w:t>
      </w:r>
      <w:r w:rsidR="00AA4855" w:rsidRPr="00125E99">
        <w:t>ами</w:t>
      </w:r>
      <w:r w:rsidRPr="00125E99">
        <w:t>;</w:t>
      </w:r>
    </w:p>
    <w:p w14:paraId="00D6006D" w14:textId="7FDC5320" w:rsidR="00036637" w:rsidRPr="00125E99" w:rsidRDefault="00036637" w:rsidP="002B6A3D">
      <w:pPr>
        <w:pStyle w:val="afb"/>
        <w:shd w:val="clear" w:color="auto" w:fill="FFFFFF"/>
        <w:tabs>
          <w:tab w:val="left" w:pos="709"/>
          <w:tab w:val="left" w:pos="851"/>
          <w:tab w:val="left" w:pos="993"/>
        </w:tabs>
        <w:ind w:left="0" w:firstLine="567"/>
      </w:pPr>
    </w:p>
    <w:p w14:paraId="0DB44B1C" w14:textId="60490935" w:rsidR="00E12E34" w:rsidRPr="00125E99" w:rsidRDefault="00E12E34" w:rsidP="002B6A3D">
      <w:pPr>
        <w:pStyle w:val="afb"/>
        <w:numPr>
          <w:ilvl w:val="0"/>
          <w:numId w:val="12"/>
        </w:numPr>
        <w:shd w:val="clear" w:color="auto" w:fill="FFFFFF"/>
        <w:tabs>
          <w:tab w:val="left" w:pos="709"/>
          <w:tab w:val="left" w:pos="851"/>
          <w:tab w:val="left" w:pos="993"/>
        </w:tabs>
        <w:ind w:left="0" w:firstLine="567"/>
      </w:pPr>
      <w:r w:rsidRPr="00125E99">
        <w:t>факторингов</w:t>
      </w:r>
      <w:r w:rsidR="00AA4855" w:rsidRPr="00125E99">
        <w:t>ими</w:t>
      </w:r>
      <w:r w:rsidRPr="00125E99">
        <w:t xml:space="preserve"> операці</w:t>
      </w:r>
      <w:r w:rsidR="00AA4855" w:rsidRPr="00125E99">
        <w:t>ями</w:t>
      </w:r>
      <w:r w:rsidRPr="00125E99">
        <w:t>;</w:t>
      </w:r>
    </w:p>
    <w:p w14:paraId="0CE9BDB0" w14:textId="77777777" w:rsidR="00036637" w:rsidRPr="00125E99" w:rsidRDefault="00036637" w:rsidP="002B6A3D">
      <w:pPr>
        <w:pStyle w:val="afb"/>
        <w:tabs>
          <w:tab w:val="left" w:pos="851"/>
          <w:tab w:val="left" w:pos="993"/>
        </w:tabs>
        <w:ind w:left="0" w:firstLine="567"/>
      </w:pPr>
    </w:p>
    <w:p w14:paraId="58B23535" w14:textId="6CF314A9" w:rsidR="00E12E34" w:rsidRPr="00125E99" w:rsidRDefault="00E12E34" w:rsidP="002B6A3D">
      <w:pPr>
        <w:pStyle w:val="afb"/>
        <w:numPr>
          <w:ilvl w:val="0"/>
          <w:numId w:val="12"/>
        </w:numPr>
        <w:shd w:val="clear" w:color="auto" w:fill="FFFFFF"/>
        <w:tabs>
          <w:tab w:val="left" w:pos="709"/>
          <w:tab w:val="left" w:pos="851"/>
          <w:tab w:val="left" w:pos="993"/>
        </w:tabs>
        <w:ind w:left="0" w:firstLine="567"/>
      </w:pPr>
      <w:r w:rsidRPr="00125E99">
        <w:t>фінансови</w:t>
      </w:r>
      <w:r w:rsidR="00AA4855" w:rsidRPr="00125E99">
        <w:t>м</w:t>
      </w:r>
      <w:r w:rsidRPr="00125E99">
        <w:t xml:space="preserve"> лізинг</w:t>
      </w:r>
      <w:r w:rsidR="00AA4855" w:rsidRPr="00125E99">
        <w:t>ом</w:t>
      </w:r>
      <w:r w:rsidRPr="00125E99">
        <w:t>;</w:t>
      </w:r>
    </w:p>
    <w:p w14:paraId="56BBF141" w14:textId="77777777" w:rsidR="00036637" w:rsidRPr="00125E99" w:rsidRDefault="00036637" w:rsidP="002B6A3D">
      <w:pPr>
        <w:pStyle w:val="afb"/>
        <w:shd w:val="clear" w:color="auto" w:fill="FFFFFF"/>
        <w:tabs>
          <w:tab w:val="left" w:pos="709"/>
          <w:tab w:val="left" w:pos="851"/>
          <w:tab w:val="left" w:pos="993"/>
        </w:tabs>
        <w:ind w:left="0" w:firstLine="567"/>
      </w:pPr>
    </w:p>
    <w:p w14:paraId="47B00965" w14:textId="08794850" w:rsidR="00E12E34" w:rsidRPr="00125E99" w:rsidRDefault="00E12E34" w:rsidP="002B6A3D">
      <w:pPr>
        <w:pStyle w:val="afb"/>
        <w:numPr>
          <w:ilvl w:val="0"/>
          <w:numId w:val="12"/>
        </w:numPr>
        <w:shd w:val="clear" w:color="auto" w:fill="FFFFFF"/>
        <w:tabs>
          <w:tab w:val="left" w:pos="709"/>
          <w:tab w:val="left" w:pos="851"/>
          <w:tab w:val="left" w:pos="993"/>
          <w:tab w:val="left" w:pos="1134"/>
        </w:tabs>
        <w:ind w:left="0" w:firstLine="567"/>
      </w:pPr>
      <w:r w:rsidRPr="00125E99">
        <w:t>боргов</w:t>
      </w:r>
      <w:r w:rsidR="00AA4855" w:rsidRPr="00125E99">
        <w:t>ими</w:t>
      </w:r>
      <w:r w:rsidRPr="00125E99">
        <w:t xml:space="preserve"> цінн</w:t>
      </w:r>
      <w:r w:rsidR="00AA4855" w:rsidRPr="00125E99">
        <w:t>ими</w:t>
      </w:r>
      <w:r w:rsidRPr="00125E99">
        <w:t xml:space="preserve"> папер</w:t>
      </w:r>
      <w:r w:rsidR="00AA4855" w:rsidRPr="00125E99">
        <w:t>ами</w:t>
      </w:r>
      <w:r w:rsidR="00B75EE6" w:rsidRPr="00125E99">
        <w:t xml:space="preserve">, емітованими (виданими) принципалом або особою, що належить до групи </w:t>
      </w:r>
      <w:proofErr w:type="spellStart"/>
      <w:r w:rsidR="00B75EE6" w:rsidRPr="00125E99">
        <w:t>повʼязаних</w:t>
      </w:r>
      <w:proofErr w:type="spellEnd"/>
      <w:r w:rsidR="00B75EE6" w:rsidRPr="00125E99">
        <w:t xml:space="preserve"> осіб</w:t>
      </w:r>
      <w:r w:rsidRPr="00125E99">
        <w:t>;</w:t>
      </w:r>
    </w:p>
    <w:p w14:paraId="2C1C6814" w14:textId="77777777" w:rsidR="00036637" w:rsidRPr="00125E99" w:rsidRDefault="00036637" w:rsidP="002B6A3D">
      <w:pPr>
        <w:pStyle w:val="afb"/>
        <w:tabs>
          <w:tab w:val="left" w:pos="851"/>
          <w:tab w:val="left" w:pos="993"/>
          <w:tab w:val="left" w:pos="1134"/>
        </w:tabs>
        <w:ind w:left="0" w:firstLine="567"/>
      </w:pPr>
    </w:p>
    <w:p w14:paraId="4B42259C" w14:textId="23ADBB62" w:rsidR="00E12E34" w:rsidRPr="00125E99" w:rsidRDefault="00E12E34" w:rsidP="002B6A3D">
      <w:pPr>
        <w:pStyle w:val="afb"/>
        <w:numPr>
          <w:ilvl w:val="0"/>
          <w:numId w:val="12"/>
        </w:numPr>
        <w:shd w:val="clear" w:color="auto" w:fill="FFFFFF"/>
        <w:tabs>
          <w:tab w:val="left" w:pos="709"/>
          <w:tab w:val="left" w:pos="851"/>
          <w:tab w:val="left" w:pos="993"/>
        </w:tabs>
        <w:ind w:left="0" w:firstLine="567"/>
      </w:pPr>
      <w:r w:rsidRPr="00125E99">
        <w:t>дебіторськ</w:t>
      </w:r>
      <w:r w:rsidR="00AA4855" w:rsidRPr="00125E99">
        <w:t>ою</w:t>
      </w:r>
      <w:r w:rsidRPr="00125E99">
        <w:t xml:space="preserve"> заборгованіст</w:t>
      </w:r>
      <w:r w:rsidR="00AA4855" w:rsidRPr="00125E99">
        <w:t>ю</w:t>
      </w:r>
      <w:r w:rsidRPr="00125E99">
        <w:t xml:space="preserve"> за операціями з </w:t>
      </w:r>
      <w:r w:rsidR="00AA4855" w:rsidRPr="00125E99">
        <w:t xml:space="preserve">принципалом або  групою </w:t>
      </w:r>
      <w:proofErr w:type="spellStart"/>
      <w:r w:rsidR="00AA4855" w:rsidRPr="00125E99">
        <w:t>повʼязаних</w:t>
      </w:r>
      <w:proofErr w:type="spellEnd"/>
      <w:r w:rsidR="00AA4855" w:rsidRPr="00125E99">
        <w:t xml:space="preserve"> осіб</w:t>
      </w:r>
      <w:r w:rsidR="00033B34" w:rsidRPr="00125E99">
        <w:t xml:space="preserve"> (крім дебіторської заборгованості за наданими кредитами, факторинговими операціями, фінансовим лізингом, борговими цінними паперами)</w:t>
      </w:r>
      <w:r w:rsidRPr="00125E99">
        <w:t>.</w:t>
      </w:r>
    </w:p>
    <w:p w14:paraId="1939E578" w14:textId="5390CFB0" w:rsidR="00E12E34" w:rsidRPr="00125E99" w:rsidRDefault="00E12E34" w:rsidP="00AF11DA">
      <w:pPr>
        <w:shd w:val="clear" w:color="auto" w:fill="FFFFFF"/>
        <w:tabs>
          <w:tab w:val="left" w:pos="709"/>
        </w:tabs>
      </w:pPr>
    </w:p>
    <w:p w14:paraId="15A08B3B" w14:textId="40611E85" w:rsidR="00E12E34" w:rsidRPr="00125E99" w:rsidRDefault="007C54D0" w:rsidP="002B6A3D">
      <w:pPr>
        <w:shd w:val="clear" w:color="auto" w:fill="FFFFFF"/>
        <w:tabs>
          <w:tab w:val="left" w:pos="709"/>
        </w:tabs>
        <w:ind w:firstLine="567"/>
      </w:pPr>
      <w:r w:rsidRPr="00125E99">
        <w:t>2</w:t>
      </w:r>
      <w:r w:rsidR="009A3B33" w:rsidRPr="00125E99">
        <w:t>6</w:t>
      </w:r>
      <w:r w:rsidR="00E12E34" w:rsidRPr="00125E99">
        <w:t xml:space="preserve">. </w:t>
      </w:r>
      <w:r w:rsidR="00033B34" w:rsidRPr="00125E99">
        <w:t xml:space="preserve">Небанківський гарант включає </w:t>
      </w:r>
      <w:r w:rsidR="00036637" w:rsidRPr="00125E99">
        <w:t>під час розрахунку Н3</w:t>
      </w:r>
      <w:r w:rsidR="00033B34" w:rsidRPr="00125E99">
        <w:t xml:space="preserve"> </w:t>
      </w:r>
      <w:r w:rsidR="00033B34" w:rsidRPr="00125E99">
        <w:rPr>
          <w:color w:val="333333"/>
          <w:shd w:val="clear" w:color="auto" w:fill="FFFFFF"/>
        </w:rPr>
        <w:t>д</w:t>
      </w:r>
      <w:r w:rsidR="00E12E34" w:rsidRPr="00125E99">
        <w:rPr>
          <w:color w:val="333333"/>
          <w:shd w:val="clear" w:color="auto" w:fill="FFFFFF"/>
        </w:rPr>
        <w:t>о фінансових зобов’язань, наданих небанківським гар</w:t>
      </w:r>
      <w:r w:rsidR="00033B34" w:rsidRPr="00125E99">
        <w:rPr>
          <w:color w:val="333333"/>
          <w:shd w:val="clear" w:color="auto" w:fill="FFFFFF"/>
        </w:rPr>
        <w:t>а</w:t>
      </w:r>
      <w:r w:rsidR="00E12E34" w:rsidRPr="00125E99">
        <w:rPr>
          <w:color w:val="333333"/>
          <w:shd w:val="clear" w:color="auto" w:fill="FFFFFF"/>
        </w:rPr>
        <w:t xml:space="preserve">нтом щодо </w:t>
      </w:r>
      <w:r w:rsidR="00033B34" w:rsidRPr="00125E99">
        <w:rPr>
          <w:color w:val="333333"/>
          <w:shd w:val="clear" w:color="auto" w:fill="FFFFFF"/>
        </w:rPr>
        <w:t>принципала</w:t>
      </w:r>
      <w:r w:rsidR="00E12E34" w:rsidRPr="00125E99">
        <w:rPr>
          <w:color w:val="333333"/>
          <w:shd w:val="clear" w:color="auto" w:fill="FFFFFF"/>
        </w:rPr>
        <w:t xml:space="preserve"> або групи пов’язаних </w:t>
      </w:r>
      <w:r w:rsidR="00033B34" w:rsidRPr="00125E99">
        <w:rPr>
          <w:color w:val="333333"/>
          <w:shd w:val="clear" w:color="auto" w:fill="FFFFFF"/>
        </w:rPr>
        <w:t>осіб</w:t>
      </w:r>
      <w:r w:rsidR="00033B34" w:rsidRPr="00125E99">
        <w:t>, загальну сума зобов’язань за всіма видами гарантій/</w:t>
      </w:r>
      <w:proofErr w:type="spellStart"/>
      <w:r w:rsidR="00033B34" w:rsidRPr="00125E99">
        <w:t>контргарантій</w:t>
      </w:r>
      <w:proofErr w:type="spellEnd"/>
      <w:r w:rsidR="00033B34" w:rsidRPr="00125E99">
        <w:t>, якими небанківський гарант</w:t>
      </w:r>
      <w:r w:rsidR="00033B34" w:rsidRPr="00125E99" w:rsidDel="00D14205">
        <w:t xml:space="preserve"> </w:t>
      </w:r>
      <w:r w:rsidR="00033B34" w:rsidRPr="00125E99">
        <w:t xml:space="preserve">забезпечив виконання </w:t>
      </w:r>
      <w:proofErr w:type="spellStart"/>
      <w:r w:rsidR="00033B34" w:rsidRPr="00125E99">
        <w:t>обовʼязку</w:t>
      </w:r>
      <w:proofErr w:type="spellEnd"/>
      <w:r w:rsidR="00033B34" w:rsidRPr="00125E99">
        <w:t xml:space="preserve"> принципала або групи </w:t>
      </w:r>
      <w:proofErr w:type="spellStart"/>
      <w:r w:rsidR="00033B34" w:rsidRPr="00125E99">
        <w:t>повʼязаних</w:t>
      </w:r>
      <w:proofErr w:type="spellEnd"/>
      <w:r w:rsidR="00033B34" w:rsidRPr="00125E99">
        <w:t xml:space="preserve"> осіб перед кредиторами </w:t>
      </w:r>
      <w:r w:rsidR="00033B34" w:rsidRPr="00125E99">
        <w:rPr>
          <w:shd w:val="clear" w:color="auto" w:fill="FFFFFF"/>
        </w:rPr>
        <w:t>(</w:t>
      </w:r>
      <w:proofErr w:type="spellStart"/>
      <w:r w:rsidR="00033B34" w:rsidRPr="00125E99">
        <w:rPr>
          <w:shd w:val="clear" w:color="auto" w:fill="FFFFFF"/>
        </w:rPr>
        <w:t>бенефіціарами</w:t>
      </w:r>
      <w:proofErr w:type="spellEnd"/>
      <w:r w:rsidR="00033B34" w:rsidRPr="00125E99">
        <w:rPr>
          <w:shd w:val="clear" w:color="auto" w:fill="FFFFFF"/>
        </w:rPr>
        <w:t>), які мають обліковуватися на балансових та позабалансових рахунках</w:t>
      </w:r>
      <w:r w:rsidR="00E12E34" w:rsidRPr="00125E99">
        <w:rPr>
          <w:color w:val="333333"/>
          <w:shd w:val="clear" w:color="auto" w:fill="FFFFFF"/>
        </w:rPr>
        <w:t>.</w:t>
      </w:r>
    </w:p>
    <w:p w14:paraId="7B8BC4A6" w14:textId="77777777" w:rsidR="00A4652B" w:rsidRPr="00125E99" w:rsidRDefault="00A4652B" w:rsidP="00AF11DA">
      <w:pPr>
        <w:shd w:val="clear" w:color="auto" w:fill="FFFFFF"/>
        <w:tabs>
          <w:tab w:val="left" w:pos="709"/>
        </w:tabs>
        <w:ind w:firstLine="0"/>
      </w:pPr>
    </w:p>
    <w:p w14:paraId="5EBE0DE0" w14:textId="68DC9C18" w:rsidR="00B457F2" w:rsidRPr="00125E99" w:rsidRDefault="007C54D0" w:rsidP="002B6A3D">
      <w:pPr>
        <w:shd w:val="clear" w:color="auto" w:fill="FFFFFF"/>
        <w:tabs>
          <w:tab w:val="left" w:pos="709"/>
        </w:tabs>
        <w:ind w:firstLine="567"/>
      </w:pPr>
      <w:r w:rsidRPr="00125E99">
        <w:t>2</w:t>
      </w:r>
      <w:r w:rsidR="009A3B33" w:rsidRPr="00125E99">
        <w:t>7</w:t>
      </w:r>
      <w:r w:rsidR="00A4652B" w:rsidRPr="00125E99">
        <w:t xml:space="preserve">. </w:t>
      </w:r>
      <w:r w:rsidR="00B457F2" w:rsidRPr="00125E99">
        <w:t>Нормативне значення Н</w:t>
      </w:r>
      <w:r w:rsidR="00036637" w:rsidRPr="00125E99">
        <w:t>3</w:t>
      </w:r>
      <w:r w:rsidR="00B457F2" w:rsidRPr="00125E99">
        <w:t xml:space="preserve"> не має перевищувати 25 відсотків.</w:t>
      </w:r>
    </w:p>
    <w:p w14:paraId="2B785A79" w14:textId="06B2214E" w:rsidR="00BF4494" w:rsidRPr="00125E99" w:rsidRDefault="00E5280E" w:rsidP="002B6A3D">
      <w:pPr>
        <w:shd w:val="clear" w:color="auto" w:fill="FFFFFF"/>
        <w:tabs>
          <w:tab w:val="left" w:pos="709"/>
        </w:tabs>
        <w:ind w:firstLine="567"/>
      </w:pPr>
      <w:r w:rsidRPr="00125E99" w:rsidDel="00E5280E">
        <w:t xml:space="preserve"> </w:t>
      </w:r>
    </w:p>
    <w:p w14:paraId="4333AEFF" w14:textId="7F3B22A0" w:rsidR="00BF4494" w:rsidRPr="00125E99" w:rsidRDefault="009A3B33" w:rsidP="002B6A3D">
      <w:pPr>
        <w:widowControl w:val="0"/>
        <w:shd w:val="clear" w:color="auto" w:fill="FFFFFF"/>
        <w:tabs>
          <w:tab w:val="left" w:pos="1134"/>
        </w:tabs>
        <w:ind w:firstLine="567"/>
      </w:pPr>
      <w:r w:rsidRPr="00125E99">
        <w:t>28</w:t>
      </w:r>
      <w:r w:rsidR="000C55DC" w:rsidRPr="00125E99">
        <w:t xml:space="preserve">. </w:t>
      </w:r>
      <w:r w:rsidR="002349E3" w:rsidRPr="00125E99">
        <w:rPr>
          <w:shd w:val="clear" w:color="auto" w:fill="FFFFFF"/>
        </w:rPr>
        <w:t>Небанківський гарант</w:t>
      </w:r>
      <w:r w:rsidR="002349E3" w:rsidRPr="00125E99" w:rsidDel="002349E3">
        <w:t xml:space="preserve"> </w:t>
      </w:r>
      <w:r w:rsidR="00DA0990" w:rsidRPr="00125E99">
        <w:t>з метою виконання Н</w:t>
      </w:r>
      <w:r w:rsidR="00036637" w:rsidRPr="00125E99">
        <w:t>3</w:t>
      </w:r>
      <w:r w:rsidR="000C55DC" w:rsidRPr="00125E99">
        <w:t xml:space="preserve"> </w:t>
      </w:r>
      <w:proofErr w:type="spellStart"/>
      <w:r w:rsidR="000C55DC" w:rsidRPr="00125E99">
        <w:t>зобовʼязан</w:t>
      </w:r>
      <w:r w:rsidR="002349E3" w:rsidRPr="00125E99">
        <w:t>ий</w:t>
      </w:r>
      <w:proofErr w:type="spellEnd"/>
      <w:r w:rsidR="00BF4494" w:rsidRPr="00125E99">
        <w:t>:</w:t>
      </w:r>
    </w:p>
    <w:p w14:paraId="06DD525A" w14:textId="77777777" w:rsidR="000C55DC" w:rsidRPr="00125E99" w:rsidRDefault="000C55DC" w:rsidP="00CF3675">
      <w:pPr>
        <w:widowControl w:val="0"/>
        <w:shd w:val="clear" w:color="auto" w:fill="FFFFFF"/>
        <w:tabs>
          <w:tab w:val="left" w:pos="1134"/>
        </w:tabs>
      </w:pPr>
    </w:p>
    <w:p w14:paraId="30CD3AB7" w14:textId="6225D580" w:rsidR="00BF4494" w:rsidRPr="00125E99" w:rsidRDefault="000C55DC" w:rsidP="002B6A3D">
      <w:pPr>
        <w:widowControl w:val="0"/>
        <w:shd w:val="clear" w:color="auto" w:fill="FFFFFF"/>
        <w:tabs>
          <w:tab w:val="left" w:pos="1134"/>
        </w:tabs>
        <w:ind w:firstLine="567"/>
      </w:pPr>
      <w:r w:rsidRPr="00125E99">
        <w:t xml:space="preserve">1) до укладення договорів про надання фінансових послуг </w:t>
      </w:r>
      <w:r w:rsidR="00BF4494" w:rsidRPr="00125E99">
        <w:t>встановлювати належність/неналежність</w:t>
      </w:r>
      <w:r w:rsidR="0044022C" w:rsidRPr="00125E99">
        <w:t xml:space="preserve"> клієнтів</w:t>
      </w:r>
      <w:r w:rsidR="0041286C" w:rsidRPr="00125E99">
        <w:t>, з якими укладаються такі договори,</w:t>
      </w:r>
      <w:r w:rsidR="00BF4494" w:rsidRPr="00125E99">
        <w:t xml:space="preserve"> до </w:t>
      </w:r>
      <w:proofErr w:type="spellStart"/>
      <w:r w:rsidR="00A30123" w:rsidRPr="00125E99">
        <w:t>п</w:t>
      </w:r>
      <w:r w:rsidR="007C1CDB" w:rsidRPr="00125E99">
        <w:t>овʼязаних</w:t>
      </w:r>
      <w:proofErr w:type="spellEnd"/>
      <w:r w:rsidR="007C1CDB" w:rsidRPr="00125E99">
        <w:t xml:space="preserve"> </w:t>
      </w:r>
      <w:r w:rsidR="00A30123" w:rsidRPr="00125E99">
        <w:t>осіб/</w:t>
      </w:r>
      <w:r w:rsidR="00507518" w:rsidRPr="00125E99">
        <w:t xml:space="preserve">груп </w:t>
      </w:r>
      <w:proofErr w:type="spellStart"/>
      <w:r w:rsidR="00507518" w:rsidRPr="00125E99">
        <w:t>повʼязаних</w:t>
      </w:r>
      <w:proofErr w:type="spellEnd"/>
      <w:r w:rsidR="00507518" w:rsidRPr="00125E99">
        <w:t xml:space="preserve"> осіб/визначати групи </w:t>
      </w:r>
      <w:proofErr w:type="spellStart"/>
      <w:r w:rsidR="00507518" w:rsidRPr="00125E99">
        <w:t>повʼязаних</w:t>
      </w:r>
      <w:proofErr w:type="spellEnd"/>
      <w:r w:rsidR="00507518" w:rsidRPr="00125E99">
        <w:t xml:space="preserve"> осіб відповідно до</w:t>
      </w:r>
      <w:r w:rsidR="0034658D" w:rsidRPr="00125E99">
        <w:t xml:space="preserve"> вимог</w:t>
      </w:r>
      <w:r w:rsidR="00507518" w:rsidRPr="00125E99">
        <w:t xml:space="preserve">, що </w:t>
      </w:r>
      <w:r w:rsidR="0034658D" w:rsidRPr="00125E99">
        <w:t xml:space="preserve">встановлені в </w:t>
      </w:r>
      <w:r w:rsidR="00BF4494" w:rsidRPr="00125E99">
        <w:t>пун</w:t>
      </w:r>
      <w:r w:rsidR="002C3F60" w:rsidRPr="00125E99">
        <w:t>кт</w:t>
      </w:r>
      <w:r w:rsidR="007C54D0" w:rsidRPr="00125E99">
        <w:t>і</w:t>
      </w:r>
      <w:r w:rsidR="002C3F60" w:rsidRPr="00125E99">
        <w:t xml:space="preserve"> </w:t>
      </w:r>
      <w:r w:rsidR="009A3B33" w:rsidRPr="00125E99">
        <w:t>29</w:t>
      </w:r>
      <w:r w:rsidR="00660C8E" w:rsidRPr="00125E99">
        <w:t xml:space="preserve"> </w:t>
      </w:r>
      <w:r w:rsidRPr="00125E99">
        <w:t xml:space="preserve">розділу </w:t>
      </w:r>
      <w:r w:rsidR="00660C8E" w:rsidRPr="00125E99">
        <w:t>V</w:t>
      </w:r>
      <w:r w:rsidRPr="00125E99">
        <w:t xml:space="preserve"> цього Положення</w:t>
      </w:r>
      <w:r w:rsidR="00BF4494" w:rsidRPr="00125E99">
        <w:t>;</w:t>
      </w:r>
    </w:p>
    <w:p w14:paraId="2412DF0B" w14:textId="77777777" w:rsidR="001721D4" w:rsidRPr="00125E99" w:rsidRDefault="001721D4" w:rsidP="00CF3675">
      <w:pPr>
        <w:widowControl w:val="0"/>
        <w:shd w:val="clear" w:color="auto" w:fill="FFFFFF"/>
        <w:tabs>
          <w:tab w:val="left" w:pos="1134"/>
        </w:tabs>
      </w:pPr>
    </w:p>
    <w:p w14:paraId="500D134B" w14:textId="4E65149D" w:rsidR="00B457F2" w:rsidRPr="00125E99" w:rsidRDefault="000C55DC" w:rsidP="002B6A3D">
      <w:pPr>
        <w:widowControl w:val="0"/>
        <w:shd w:val="clear" w:color="auto" w:fill="FFFFFF"/>
        <w:tabs>
          <w:tab w:val="left" w:pos="1134"/>
        </w:tabs>
        <w:ind w:firstLine="567"/>
      </w:pPr>
      <w:r w:rsidRPr="00125E99">
        <w:t>2) </w:t>
      </w:r>
      <w:r w:rsidR="001721D4" w:rsidRPr="00125E99">
        <w:t xml:space="preserve">відмовитися від укладення з </w:t>
      </w:r>
      <w:r w:rsidR="0044022C" w:rsidRPr="00125E99">
        <w:t xml:space="preserve">клієнтами </w:t>
      </w:r>
      <w:r w:rsidR="001721D4" w:rsidRPr="00125E99">
        <w:t>договорів</w:t>
      </w:r>
      <w:r w:rsidR="0044022C" w:rsidRPr="00125E99">
        <w:t xml:space="preserve"> про надання фінансових послуг</w:t>
      </w:r>
      <w:r w:rsidR="00FC3FAB" w:rsidRPr="00125E99">
        <w:t xml:space="preserve"> або від збільшення </w:t>
      </w:r>
      <w:proofErr w:type="spellStart"/>
      <w:r w:rsidR="00FC3FAB" w:rsidRPr="00125E99">
        <w:t>зобовʼязань</w:t>
      </w:r>
      <w:proofErr w:type="spellEnd"/>
      <w:r w:rsidR="00FC3FAB" w:rsidRPr="00125E99">
        <w:t xml:space="preserve"> за укладеними договорами про надання фінансових послуг</w:t>
      </w:r>
      <w:r w:rsidR="001721D4" w:rsidRPr="00125E99">
        <w:t xml:space="preserve">, якщо внаслідок їх укладення </w:t>
      </w:r>
      <w:r w:rsidR="00FC3FAB" w:rsidRPr="00125E99">
        <w:t xml:space="preserve">або збільшення </w:t>
      </w:r>
      <w:proofErr w:type="spellStart"/>
      <w:r w:rsidR="00FC3FAB" w:rsidRPr="00125E99">
        <w:t>зобовʼязань</w:t>
      </w:r>
      <w:proofErr w:type="spellEnd"/>
      <w:r w:rsidR="00FC3FAB" w:rsidRPr="00125E99">
        <w:t xml:space="preserve"> за </w:t>
      </w:r>
      <w:r w:rsidR="00FC3FAB" w:rsidRPr="00125E99">
        <w:lastRenderedPageBreak/>
        <w:t xml:space="preserve">укладеними договорами </w:t>
      </w:r>
      <w:r w:rsidR="001721D4" w:rsidRPr="00125E99">
        <w:t>та/або виконання</w:t>
      </w:r>
      <w:r w:rsidR="00FC3FAB" w:rsidRPr="00125E99">
        <w:t xml:space="preserve"> укладених договорів</w:t>
      </w:r>
      <w:r w:rsidR="001721D4" w:rsidRPr="00125E99">
        <w:t xml:space="preserve"> </w:t>
      </w:r>
      <w:r w:rsidR="002349E3" w:rsidRPr="00125E99">
        <w:t xml:space="preserve">небанківським гарантом </w:t>
      </w:r>
      <w:r w:rsidR="002349E3" w:rsidRPr="00125E99">
        <w:rPr>
          <w:shd w:val="clear" w:color="auto" w:fill="FFFFFF"/>
        </w:rPr>
        <w:t xml:space="preserve"> </w:t>
      </w:r>
      <w:r w:rsidR="001721D4" w:rsidRPr="00125E99">
        <w:t xml:space="preserve">буде допущено порушення </w:t>
      </w:r>
      <w:r w:rsidR="00BB2ED2" w:rsidRPr="00125E99">
        <w:t>Н3</w:t>
      </w:r>
      <w:r w:rsidR="001721D4" w:rsidRPr="00125E99">
        <w:t>.</w:t>
      </w:r>
      <w:bookmarkStart w:id="14" w:name="n2136"/>
      <w:bookmarkStart w:id="15" w:name="n2135"/>
      <w:bookmarkStart w:id="16" w:name="n2134"/>
      <w:bookmarkEnd w:id="14"/>
      <w:bookmarkEnd w:id="15"/>
      <w:bookmarkEnd w:id="16"/>
    </w:p>
    <w:p w14:paraId="047AA726" w14:textId="01353764" w:rsidR="00E12E34" w:rsidRPr="00125E99" w:rsidRDefault="00E12E34" w:rsidP="00CF3675">
      <w:pPr>
        <w:widowControl w:val="0"/>
        <w:shd w:val="clear" w:color="auto" w:fill="FFFFFF"/>
        <w:tabs>
          <w:tab w:val="left" w:pos="1134"/>
        </w:tabs>
      </w:pPr>
    </w:p>
    <w:p w14:paraId="289CACC9" w14:textId="21660ED2" w:rsidR="009240E0" w:rsidRPr="00125E99" w:rsidRDefault="009A3B33" w:rsidP="00987D31">
      <w:pPr>
        <w:widowControl w:val="0"/>
        <w:shd w:val="clear" w:color="auto" w:fill="FFFFFF"/>
        <w:tabs>
          <w:tab w:val="left" w:pos="1134"/>
        </w:tabs>
        <w:ind w:firstLine="567"/>
        <w:contextualSpacing/>
      </w:pPr>
      <w:r w:rsidRPr="00125E99">
        <w:t>29</w:t>
      </w:r>
      <w:r w:rsidR="00E12E34" w:rsidRPr="00125E99">
        <w:t>. Небанківський гарант</w:t>
      </w:r>
      <w:r w:rsidR="00E12E34" w:rsidRPr="00125E99" w:rsidDel="00D14205">
        <w:t xml:space="preserve"> </w:t>
      </w:r>
      <w:r w:rsidR="00E12E34" w:rsidRPr="00125E99">
        <w:t>визначає</w:t>
      </w:r>
      <w:r w:rsidR="009240E0" w:rsidRPr="00125E99">
        <w:t>:</w:t>
      </w:r>
    </w:p>
    <w:p w14:paraId="3E0A85CF" w14:textId="1A8ECBEA" w:rsidR="009240E0" w:rsidRPr="00125E99" w:rsidRDefault="009240E0" w:rsidP="00987D31">
      <w:pPr>
        <w:widowControl w:val="0"/>
        <w:shd w:val="clear" w:color="auto" w:fill="FFFFFF"/>
        <w:tabs>
          <w:tab w:val="left" w:pos="1134"/>
        </w:tabs>
        <w:ind w:firstLine="567"/>
        <w:contextualSpacing/>
      </w:pPr>
    </w:p>
    <w:p w14:paraId="733192FE" w14:textId="4A5839ED" w:rsidR="009240E0" w:rsidRPr="00125E99" w:rsidRDefault="009240E0" w:rsidP="00987D31">
      <w:pPr>
        <w:pStyle w:val="afb"/>
        <w:widowControl w:val="0"/>
        <w:numPr>
          <w:ilvl w:val="0"/>
          <w:numId w:val="40"/>
        </w:numPr>
        <w:shd w:val="clear" w:color="auto" w:fill="FFFFFF"/>
        <w:tabs>
          <w:tab w:val="left" w:pos="709"/>
          <w:tab w:val="left" w:pos="851"/>
          <w:tab w:val="left" w:pos="993"/>
        </w:tabs>
        <w:ind w:left="0" w:firstLine="567"/>
      </w:pPr>
      <w:r w:rsidRPr="00125E99">
        <w:t>пов’язаною з ним особу, якщо така особа відповідає хоча б одному з критеріїв, зазначених в  пункті 37 частини першої статті 1 Закону про фінансові послуги</w:t>
      </w:r>
      <w:r w:rsidR="00A30123" w:rsidRPr="00125E99">
        <w:t>;</w:t>
      </w:r>
    </w:p>
    <w:p w14:paraId="00AA02AD" w14:textId="77777777" w:rsidR="009240E0" w:rsidRPr="00125E99" w:rsidRDefault="009240E0" w:rsidP="00987D31">
      <w:pPr>
        <w:widowControl w:val="0"/>
        <w:shd w:val="clear" w:color="auto" w:fill="FFFFFF"/>
        <w:tabs>
          <w:tab w:val="left" w:pos="709"/>
          <w:tab w:val="left" w:pos="993"/>
        </w:tabs>
        <w:ind w:firstLine="567"/>
        <w:contextualSpacing/>
      </w:pPr>
    </w:p>
    <w:p w14:paraId="474E7715" w14:textId="0EDA8DAD" w:rsidR="00E12E34" w:rsidRPr="00125E99" w:rsidRDefault="00E12E34" w:rsidP="00987D31">
      <w:pPr>
        <w:pStyle w:val="afb"/>
        <w:widowControl w:val="0"/>
        <w:numPr>
          <w:ilvl w:val="0"/>
          <w:numId w:val="40"/>
        </w:numPr>
        <w:shd w:val="clear" w:color="auto" w:fill="FFFFFF"/>
        <w:tabs>
          <w:tab w:val="left" w:pos="709"/>
          <w:tab w:val="left" w:pos="851"/>
          <w:tab w:val="left" w:pos="993"/>
        </w:tabs>
        <w:ind w:left="0" w:firstLine="567"/>
      </w:pPr>
      <w:r w:rsidRPr="00125E99">
        <w:t>груп</w:t>
      </w:r>
      <w:r w:rsidR="009240E0" w:rsidRPr="00125E99">
        <w:t>у</w:t>
      </w:r>
      <w:r w:rsidRPr="00125E99">
        <w:t xml:space="preserve"> </w:t>
      </w:r>
      <w:proofErr w:type="spellStart"/>
      <w:r w:rsidRPr="00125E99">
        <w:t>повʼязаних</w:t>
      </w:r>
      <w:proofErr w:type="spellEnd"/>
      <w:r w:rsidRPr="00125E99">
        <w:t xml:space="preserve"> осіб</w:t>
      </w:r>
      <w:r w:rsidR="009240E0" w:rsidRPr="00125E99">
        <w:t>, а саме</w:t>
      </w:r>
      <w:r w:rsidRPr="00125E99">
        <w:t xml:space="preserve"> двох або більше осіб – клієнтів небанківського гаранта, до складу яких належить принципал, якщо такі особи є </w:t>
      </w:r>
      <w:proofErr w:type="spellStart"/>
      <w:r w:rsidRPr="00125E99">
        <w:t>повʼязаними</w:t>
      </w:r>
      <w:proofErr w:type="spellEnd"/>
      <w:r w:rsidRPr="00125E99">
        <w:t xml:space="preserve"> особами відповідно до  пункту 37 частини першої статті 1 Закону про фінансові послуги</w:t>
      </w:r>
      <w:r w:rsidR="00A34B96" w:rsidRPr="00125E99">
        <w:t>,</w:t>
      </w:r>
      <w:r w:rsidRPr="00125E99">
        <w:t xml:space="preserve"> або</w:t>
      </w:r>
      <w:r w:rsidR="00530EF1" w:rsidRPr="00125E99">
        <w:t xml:space="preserve"> відповідають хоча б одному з таких критеріїв</w:t>
      </w:r>
      <w:r w:rsidR="00FB6D68" w:rsidRPr="00125E99">
        <w:t>:</w:t>
      </w:r>
    </w:p>
    <w:p w14:paraId="62AA2A25" w14:textId="7179E289" w:rsidR="00E12E34" w:rsidRPr="00125E99" w:rsidRDefault="00E12E34" w:rsidP="00987D31">
      <w:pPr>
        <w:shd w:val="clear" w:color="auto" w:fill="FFFFFF"/>
        <w:ind w:firstLine="567"/>
      </w:pPr>
      <w:r w:rsidRPr="00125E99">
        <w:t>спільне або узгоджене здійснення особами господарської діяльності;</w:t>
      </w:r>
    </w:p>
    <w:p w14:paraId="351FAF60" w14:textId="6BF4A6EA" w:rsidR="00E12E34" w:rsidRPr="00125E99" w:rsidRDefault="00E12E34" w:rsidP="00987D31">
      <w:pPr>
        <w:shd w:val="clear" w:color="auto" w:fill="FFFFFF"/>
        <w:ind w:firstLine="567"/>
      </w:pPr>
      <w:r w:rsidRPr="00125E99">
        <w:t>використання особами кредитних коштів на спільні цілі;</w:t>
      </w:r>
    </w:p>
    <w:p w14:paraId="1B97B8DD" w14:textId="7441C089" w:rsidR="00E12E34" w:rsidRPr="00125E99" w:rsidRDefault="00E12E34" w:rsidP="00987D31">
      <w:pPr>
        <w:pStyle w:val="afb"/>
        <w:widowControl w:val="0"/>
        <w:shd w:val="clear" w:color="auto" w:fill="FFFFFF"/>
        <w:tabs>
          <w:tab w:val="left" w:pos="993"/>
        </w:tabs>
        <w:ind w:left="0" w:firstLine="567"/>
      </w:pPr>
      <w:r w:rsidRPr="00125E99">
        <w:t>особи мають спільного</w:t>
      </w:r>
      <w:r w:rsidR="007E773A" w:rsidRPr="00125E99">
        <w:t xml:space="preserve"> </w:t>
      </w:r>
      <w:r w:rsidRPr="00125E99">
        <w:t>власника</w:t>
      </w:r>
      <w:r w:rsidR="00C211DD" w:rsidRPr="00125E99">
        <w:t xml:space="preserve"> </w:t>
      </w:r>
      <w:r w:rsidRPr="00125E99">
        <w:t>істотної участі (застосовується для юридичних осіб).</w:t>
      </w:r>
    </w:p>
    <w:p w14:paraId="7B940DD5" w14:textId="6EE5EAD6" w:rsidR="00B457F2" w:rsidRPr="00125E99" w:rsidRDefault="00B457F2" w:rsidP="007541EB">
      <w:pPr>
        <w:shd w:val="clear" w:color="auto" w:fill="FFFFFF"/>
        <w:tabs>
          <w:tab w:val="left" w:pos="709"/>
        </w:tabs>
        <w:ind w:firstLine="0"/>
      </w:pPr>
    </w:p>
    <w:p w14:paraId="088FCC14" w14:textId="1B870574" w:rsidR="005A4957" w:rsidRPr="00125E99" w:rsidRDefault="005A4957" w:rsidP="007541EB">
      <w:pPr>
        <w:shd w:val="clear" w:color="auto" w:fill="FFFFFF"/>
        <w:tabs>
          <w:tab w:val="left" w:pos="709"/>
        </w:tabs>
        <w:ind w:firstLine="0"/>
      </w:pPr>
    </w:p>
    <w:p w14:paraId="25E90484" w14:textId="5AEA5349" w:rsidR="00004D7D" w:rsidRPr="00125E99" w:rsidRDefault="00004D7D" w:rsidP="007541EB">
      <w:pPr>
        <w:shd w:val="clear" w:color="auto" w:fill="FFFFFF"/>
        <w:tabs>
          <w:tab w:val="left" w:pos="709"/>
        </w:tabs>
        <w:ind w:firstLine="0"/>
      </w:pPr>
    </w:p>
    <w:p w14:paraId="6A89F8D9" w14:textId="77777777" w:rsidR="00004D7D" w:rsidRPr="00125E99" w:rsidRDefault="00004D7D" w:rsidP="007541EB">
      <w:pPr>
        <w:shd w:val="clear" w:color="auto" w:fill="FFFFFF"/>
        <w:tabs>
          <w:tab w:val="left" w:pos="709"/>
        </w:tabs>
        <w:ind w:firstLine="0"/>
        <w:sectPr w:rsidR="00004D7D" w:rsidRPr="00125E99">
          <w:headerReference w:type="default" r:id="rId18"/>
          <w:footerReference w:type="default" r:id="rId19"/>
          <w:pgSz w:w="11906" w:h="16838"/>
          <w:pgMar w:top="766" w:right="567" w:bottom="1701" w:left="1701" w:header="709" w:footer="709" w:gutter="0"/>
          <w:pgNumType w:start="1"/>
          <w:cols w:space="720"/>
          <w:formProt w:val="0"/>
          <w:titlePg/>
          <w:docGrid w:linePitch="381"/>
        </w:sectPr>
      </w:pPr>
    </w:p>
    <w:p w14:paraId="056F0962" w14:textId="328A8EAA" w:rsidR="005A4957" w:rsidRPr="00125E99" w:rsidRDefault="005A4957" w:rsidP="007541EB">
      <w:pPr>
        <w:shd w:val="clear" w:color="auto" w:fill="FFFFFF"/>
        <w:tabs>
          <w:tab w:val="left" w:pos="709"/>
        </w:tabs>
        <w:ind w:firstLine="0"/>
      </w:pPr>
    </w:p>
    <w:p w14:paraId="62F6F5D3" w14:textId="77777777" w:rsidR="005A4957" w:rsidRPr="00125E99" w:rsidRDefault="005A4957" w:rsidP="005A4957">
      <w:pPr>
        <w:pStyle w:val="rvps2"/>
        <w:shd w:val="clear" w:color="auto" w:fill="FFFFFF"/>
        <w:tabs>
          <w:tab w:val="left" w:pos="709"/>
          <w:tab w:val="left" w:pos="1134"/>
        </w:tabs>
        <w:spacing w:beforeAutospacing="0" w:afterAutospacing="0"/>
        <w:ind w:firstLine="4536"/>
        <w:jc w:val="both"/>
        <w:rPr>
          <w:sz w:val="28"/>
          <w:szCs w:val="28"/>
        </w:rPr>
      </w:pPr>
      <w:bookmarkStart w:id="17" w:name="n271"/>
      <w:bookmarkStart w:id="18" w:name="n270"/>
      <w:bookmarkStart w:id="19" w:name="n269"/>
      <w:bookmarkStart w:id="20" w:name="n268"/>
      <w:bookmarkStart w:id="21" w:name="n267"/>
      <w:bookmarkStart w:id="22" w:name="n266"/>
      <w:bookmarkStart w:id="23" w:name="n265"/>
      <w:bookmarkStart w:id="24" w:name="n264"/>
      <w:bookmarkStart w:id="25" w:name="n263"/>
      <w:bookmarkStart w:id="26" w:name="n262"/>
      <w:bookmarkStart w:id="27" w:name="n260"/>
      <w:bookmarkStart w:id="28" w:name="n261"/>
      <w:bookmarkEnd w:id="17"/>
      <w:bookmarkEnd w:id="18"/>
      <w:bookmarkEnd w:id="19"/>
      <w:bookmarkEnd w:id="20"/>
      <w:bookmarkEnd w:id="21"/>
      <w:bookmarkEnd w:id="22"/>
      <w:bookmarkEnd w:id="23"/>
      <w:bookmarkEnd w:id="24"/>
      <w:bookmarkEnd w:id="25"/>
      <w:bookmarkEnd w:id="26"/>
      <w:bookmarkEnd w:id="27"/>
      <w:bookmarkEnd w:id="28"/>
      <w:r w:rsidRPr="00125E99">
        <w:rPr>
          <w:sz w:val="28"/>
          <w:szCs w:val="28"/>
        </w:rPr>
        <w:t xml:space="preserve">Додаток </w:t>
      </w:r>
    </w:p>
    <w:p w14:paraId="2FE9215A" w14:textId="23B456AC" w:rsidR="005A4957" w:rsidRPr="00125E99" w:rsidRDefault="005A4957" w:rsidP="00DF171E">
      <w:pPr>
        <w:ind w:left="4536" w:firstLine="0"/>
        <w:jc w:val="left"/>
      </w:pPr>
      <w:r w:rsidRPr="00125E99">
        <w:t>до</w:t>
      </w:r>
      <w:r w:rsidRPr="00125E99">
        <w:rPr>
          <w:bCs/>
        </w:rPr>
        <w:t xml:space="preserve"> Положення про регулювання діяльності фінансових компаній, які мають право здійснювати діяльність з надання гарантій</w:t>
      </w:r>
      <w:r w:rsidRPr="00125E99">
        <w:t xml:space="preserve"> </w:t>
      </w:r>
      <w:r w:rsidR="00F14E3E" w:rsidRPr="00125E99">
        <w:t>(пункт 1</w:t>
      </w:r>
      <w:r w:rsidR="000E6847" w:rsidRPr="00125E99">
        <w:t>4</w:t>
      </w:r>
      <w:r w:rsidRPr="00125E99">
        <w:t xml:space="preserve"> розділу ІІ)</w:t>
      </w:r>
    </w:p>
    <w:p w14:paraId="1DB138DD" w14:textId="77777777" w:rsidR="005A4957" w:rsidRPr="00125E99" w:rsidRDefault="005A4957" w:rsidP="005A4957">
      <w:pPr>
        <w:pStyle w:val="rvps2"/>
        <w:shd w:val="clear" w:color="auto" w:fill="FFFFFF"/>
        <w:tabs>
          <w:tab w:val="left" w:pos="709"/>
          <w:tab w:val="left" w:pos="1134"/>
        </w:tabs>
        <w:spacing w:beforeAutospacing="0" w:afterAutospacing="0"/>
        <w:jc w:val="both"/>
        <w:rPr>
          <w:sz w:val="28"/>
          <w:szCs w:val="28"/>
        </w:rPr>
      </w:pPr>
    </w:p>
    <w:p w14:paraId="32DF2E7C" w14:textId="77777777" w:rsidR="005A4957" w:rsidRPr="00125E99" w:rsidRDefault="005A4957" w:rsidP="005A4957">
      <w:pPr>
        <w:pStyle w:val="rvps2"/>
        <w:shd w:val="clear" w:color="auto" w:fill="FFFFFF"/>
        <w:tabs>
          <w:tab w:val="left" w:pos="709"/>
          <w:tab w:val="left" w:pos="1134"/>
        </w:tabs>
        <w:spacing w:beforeAutospacing="0" w:afterAutospacing="0"/>
        <w:jc w:val="center"/>
        <w:rPr>
          <w:sz w:val="28"/>
          <w:szCs w:val="28"/>
        </w:rPr>
      </w:pPr>
    </w:p>
    <w:p w14:paraId="3707075D" w14:textId="77777777" w:rsidR="005A4957" w:rsidRPr="00125E99" w:rsidRDefault="005A4957" w:rsidP="005A4957">
      <w:pPr>
        <w:pStyle w:val="rvps2"/>
        <w:shd w:val="clear" w:color="auto" w:fill="FFFFFF"/>
        <w:tabs>
          <w:tab w:val="left" w:pos="709"/>
          <w:tab w:val="left" w:pos="1134"/>
        </w:tabs>
        <w:spacing w:beforeAutospacing="0" w:afterAutospacing="0"/>
        <w:jc w:val="center"/>
        <w:rPr>
          <w:sz w:val="28"/>
          <w:szCs w:val="28"/>
        </w:rPr>
      </w:pPr>
    </w:p>
    <w:p w14:paraId="23B25D18" w14:textId="7D8DCB63" w:rsidR="005A4957" w:rsidRDefault="005A4957" w:rsidP="005A4957">
      <w:pPr>
        <w:pStyle w:val="rvps2"/>
        <w:shd w:val="clear" w:color="auto" w:fill="FFFFFF"/>
        <w:tabs>
          <w:tab w:val="left" w:pos="709"/>
          <w:tab w:val="left" w:pos="1134"/>
        </w:tabs>
        <w:spacing w:beforeAutospacing="0" w:afterAutospacing="0"/>
        <w:jc w:val="center"/>
        <w:rPr>
          <w:sz w:val="28"/>
          <w:szCs w:val="28"/>
        </w:rPr>
      </w:pPr>
      <w:r w:rsidRPr="00125E99">
        <w:rPr>
          <w:sz w:val="28"/>
          <w:szCs w:val="28"/>
        </w:rPr>
        <w:t xml:space="preserve">Графік  зменшення суми </w:t>
      </w:r>
      <w:proofErr w:type="spellStart"/>
      <w:r w:rsidRPr="00125E99">
        <w:rPr>
          <w:sz w:val="28"/>
          <w:szCs w:val="28"/>
        </w:rPr>
        <w:t>субординованого</w:t>
      </w:r>
      <w:proofErr w:type="spellEnd"/>
      <w:r w:rsidRPr="00125E99">
        <w:rPr>
          <w:sz w:val="28"/>
          <w:szCs w:val="28"/>
        </w:rPr>
        <w:t xml:space="preserve"> боргу, що включається до регулятивного капіталу</w:t>
      </w:r>
    </w:p>
    <w:p w14:paraId="43C088CE" w14:textId="77777777" w:rsidR="00177E56" w:rsidRDefault="00177E56" w:rsidP="005A4957">
      <w:pPr>
        <w:pStyle w:val="rvps2"/>
        <w:shd w:val="clear" w:color="auto" w:fill="FFFFFF"/>
        <w:tabs>
          <w:tab w:val="left" w:pos="709"/>
          <w:tab w:val="left" w:pos="1134"/>
        </w:tabs>
        <w:spacing w:beforeAutospacing="0" w:afterAutospacing="0"/>
        <w:jc w:val="center"/>
        <w:rPr>
          <w:sz w:val="28"/>
          <w:szCs w:val="28"/>
        </w:rPr>
      </w:pPr>
    </w:p>
    <w:p w14:paraId="73B8BFC3" w14:textId="77777777" w:rsidR="00177E56" w:rsidRPr="00125E99" w:rsidRDefault="00177E56" w:rsidP="00177E56">
      <w:pPr>
        <w:pStyle w:val="rvps2"/>
        <w:shd w:val="clear" w:color="auto" w:fill="FFFFFF"/>
        <w:tabs>
          <w:tab w:val="left" w:pos="709"/>
          <w:tab w:val="left" w:pos="1134"/>
        </w:tabs>
        <w:spacing w:beforeAutospacing="0" w:afterAutospacing="0"/>
        <w:jc w:val="right"/>
        <w:rPr>
          <w:sz w:val="28"/>
          <w:szCs w:val="28"/>
        </w:rPr>
      </w:pPr>
      <w:r w:rsidRPr="00125E99">
        <w:rPr>
          <w:sz w:val="28"/>
          <w:szCs w:val="28"/>
        </w:rPr>
        <w:t>Таблиця</w:t>
      </w:r>
    </w:p>
    <w:p w14:paraId="3A045CB1" w14:textId="7762CCA9" w:rsidR="00177E56" w:rsidRPr="00125E99" w:rsidRDefault="00177E56" w:rsidP="005A4957">
      <w:pPr>
        <w:pStyle w:val="rvps2"/>
        <w:shd w:val="clear" w:color="auto" w:fill="FFFFFF"/>
        <w:tabs>
          <w:tab w:val="left" w:pos="709"/>
          <w:tab w:val="left" w:pos="1134"/>
        </w:tabs>
        <w:spacing w:beforeAutospacing="0" w:afterAutospacing="0"/>
        <w:jc w:val="center"/>
        <w:rPr>
          <w:sz w:val="28"/>
          <w:szCs w:val="28"/>
        </w:rPr>
      </w:pPr>
    </w:p>
    <w:tbl>
      <w:tblPr>
        <w:tblW w:w="5148"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42"/>
        <w:gridCol w:w="5296"/>
        <w:gridCol w:w="3769"/>
      </w:tblGrid>
      <w:tr w:rsidR="005A4957" w:rsidRPr="00125E99" w14:paraId="468E8737"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75C7DC24" w14:textId="77777777" w:rsidR="005A4957" w:rsidRPr="00125E99" w:rsidRDefault="005A4957" w:rsidP="00AA4855">
            <w:pPr>
              <w:spacing w:before="150" w:after="150"/>
              <w:ind w:firstLine="0"/>
              <w:jc w:val="center"/>
            </w:pPr>
            <w:r w:rsidRPr="00125E99">
              <w:t>№ з/п</w:t>
            </w:r>
          </w:p>
        </w:tc>
        <w:tc>
          <w:tcPr>
            <w:tcW w:w="2673" w:type="pct"/>
            <w:tcBorders>
              <w:top w:val="single" w:sz="6" w:space="0" w:color="000000"/>
              <w:left w:val="single" w:sz="6" w:space="0" w:color="000000"/>
              <w:bottom w:val="single" w:sz="6" w:space="0" w:color="000000"/>
              <w:right w:val="single" w:sz="6" w:space="0" w:color="000000"/>
            </w:tcBorders>
            <w:hideMark/>
          </w:tcPr>
          <w:p w14:paraId="55F6D618" w14:textId="52D7D0D2" w:rsidR="005A4957" w:rsidRPr="00125E99" w:rsidRDefault="005A4957" w:rsidP="00AA4855">
            <w:pPr>
              <w:ind w:firstLine="0"/>
              <w:jc w:val="center"/>
            </w:pPr>
            <w:r w:rsidRPr="00125E99">
              <w:t xml:space="preserve">Строк до закінчення дії угоди (договору) про залучення </w:t>
            </w:r>
            <w:proofErr w:type="spellStart"/>
            <w:r w:rsidRPr="00125E99">
              <w:t>субординованого</w:t>
            </w:r>
            <w:proofErr w:type="spellEnd"/>
            <w:r w:rsidRPr="00125E99">
              <w:t xml:space="preserve"> боргу</w:t>
            </w:r>
          </w:p>
        </w:tc>
        <w:tc>
          <w:tcPr>
            <w:tcW w:w="0" w:type="auto"/>
            <w:tcBorders>
              <w:top w:val="single" w:sz="6" w:space="0" w:color="000000"/>
              <w:left w:val="single" w:sz="6" w:space="0" w:color="000000"/>
              <w:bottom w:val="single" w:sz="6" w:space="0" w:color="000000"/>
              <w:right w:val="single" w:sz="6" w:space="0" w:color="000000"/>
            </w:tcBorders>
            <w:hideMark/>
          </w:tcPr>
          <w:p w14:paraId="7980356D" w14:textId="0D2D72DF" w:rsidR="005A4957" w:rsidRPr="00125E99" w:rsidRDefault="005A4957" w:rsidP="007141A9">
            <w:pPr>
              <w:ind w:firstLine="0"/>
              <w:jc w:val="center"/>
            </w:pPr>
            <w:r w:rsidRPr="00125E99">
              <w:t xml:space="preserve">Сума </w:t>
            </w:r>
            <w:proofErr w:type="spellStart"/>
            <w:r w:rsidRPr="00125E99">
              <w:t>субординованого</w:t>
            </w:r>
            <w:proofErr w:type="spellEnd"/>
            <w:r w:rsidRPr="00125E99">
              <w:t xml:space="preserve"> боргу, що включається до РК</w:t>
            </w:r>
          </w:p>
        </w:tc>
      </w:tr>
      <w:tr w:rsidR="005A4957" w:rsidRPr="00125E99" w14:paraId="32273A97"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64E6231E" w14:textId="77777777" w:rsidR="005A4957" w:rsidRPr="00125E99" w:rsidRDefault="005A4957" w:rsidP="00AA4855">
            <w:pPr>
              <w:spacing w:before="150" w:after="150"/>
              <w:ind w:firstLine="0"/>
              <w:jc w:val="center"/>
            </w:pPr>
            <w:r w:rsidRPr="00125E99">
              <w:t>1</w:t>
            </w:r>
          </w:p>
        </w:tc>
        <w:tc>
          <w:tcPr>
            <w:tcW w:w="2673" w:type="pct"/>
            <w:tcBorders>
              <w:top w:val="single" w:sz="6" w:space="0" w:color="000000"/>
              <w:left w:val="single" w:sz="6" w:space="0" w:color="000000"/>
              <w:bottom w:val="single" w:sz="6" w:space="0" w:color="000000"/>
              <w:right w:val="single" w:sz="6" w:space="0" w:color="000000"/>
            </w:tcBorders>
          </w:tcPr>
          <w:p w14:paraId="6BDE2371" w14:textId="77777777" w:rsidR="005A4957" w:rsidRPr="00125E99" w:rsidRDefault="005A4957" w:rsidP="00AA4855">
            <w:pPr>
              <w:spacing w:before="150" w:after="150"/>
              <w:ind w:firstLine="0"/>
              <w:jc w:val="center"/>
            </w:pPr>
            <w:r w:rsidRPr="00125E99">
              <w:t>2</w:t>
            </w:r>
          </w:p>
        </w:tc>
        <w:tc>
          <w:tcPr>
            <w:tcW w:w="0" w:type="auto"/>
            <w:tcBorders>
              <w:top w:val="single" w:sz="6" w:space="0" w:color="000000"/>
              <w:left w:val="single" w:sz="6" w:space="0" w:color="000000"/>
              <w:bottom w:val="single" w:sz="6" w:space="0" w:color="000000"/>
              <w:right w:val="single" w:sz="6" w:space="0" w:color="000000"/>
            </w:tcBorders>
          </w:tcPr>
          <w:p w14:paraId="44029552" w14:textId="77777777" w:rsidR="005A4957" w:rsidRPr="00125E99" w:rsidRDefault="005A4957" w:rsidP="00AA4855">
            <w:pPr>
              <w:spacing w:before="150" w:after="150"/>
              <w:ind w:firstLine="0"/>
              <w:jc w:val="center"/>
            </w:pPr>
            <w:r w:rsidRPr="00125E99">
              <w:t>3</w:t>
            </w:r>
          </w:p>
        </w:tc>
      </w:tr>
      <w:tr w:rsidR="005A4957" w:rsidRPr="00125E99" w14:paraId="636F61B1"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25FF777E" w14:textId="77777777" w:rsidR="005A4957" w:rsidRPr="00125E99" w:rsidRDefault="005A4957" w:rsidP="00AA4855">
            <w:pPr>
              <w:spacing w:before="150" w:after="150"/>
              <w:ind w:firstLine="0"/>
              <w:jc w:val="center"/>
            </w:pPr>
            <w:r w:rsidRPr="00125E99">
              <w:t>1</w:t>
            </w:r>
          </w:p>
        </w:tc>
        <w:tc>
          <w:tcPr>
            <w:tcW w:w="2673" w:type="pct"/>
            <w:tcBorders>
              <w:top w:val="single" w:sz="6" w:space="0" w:color="000000"/>
              <w:left w:val="single" w:sz="6" w:space="0" w:color="000000"/>
              <w:bottom w:val="single" w:sz="6" w:space="0" w:color="000000"/>
              <w:right w:val="single" w:sz="6" w:space="0" w:color="000000"/>
            </w:tcBorders>
            <w:hideMark/>
          </w:tcPr>
          <w:p w14:paraId="5497DEEF" w14:textId="77777777" w:rsidR="005A4957" w:rsidRPr="00125E99" w:rsidRDefault="005A4957" w:rsidP="00AA4855">
            <w:pPr>
              <w:spacing w:before="150" w:after="150"/>
              <w:ind w:firstLine="0"/>
              <w:jc w:val="center"/>
            </w:pPr>
            <w:r w:rsidRPr="00125E99">
              <w:t>Більше чотирьох років</w:t>
            </w:r>
          </w:p>
        </w:tc>
        <w:tc>
          <w:tcPr>
            <w:tcW w:w="0" w:type="auto"/>
            <w:tcBorders>
              <w:top w:val="single" w:sz="6" w:space="0" w:color="000000"/>
              <w:left w:val="single" w:sz="6" w:space="0" w:color="000000"/>
              <w:bottom w:val="single" w:sz="6" w:space="0" w:color="000000"/>
              <w:right w:val="single" w:sz="6" w:space="0" w:color="000000"/>
            </w:tcBorders>
            <w:hideMark/>
          </w:tcPr>
          <w:p w14:paraId="61505F92" w14:textId="77777777" w:rsidR="005A4957" w:rsidRPr="00125E99" w:rsidRDefault="005A4957" w:rsidP="00AA4855">
            <w:pPr>
              <w:spacing w:before="150" w:after="150"/>
              <w:ind w:firstLine="0"/>
              <w:jc w:val="center"/>
            </w:pPr>
            <w:r w:rsidRPr="00125E99">
              <w:t>100</w:t>
            </w:r>
          </w:p>
        </w:tc>
      </w:tr>
      <w:tr w:rsidR="005A4957" w:rsidRPr="00125E99" w14:paraId="34FD7CC6"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4303B498" w14:textId="77777777" w:rsidR="005A4957" w:rsidRPr="00125E99" w:rsidRDefault="005A4957" w:rsidP="00AA4855">
            <w:pPr>
              <w:spacing w:before="150" w:after="150"/>
              <w:ind w:firstLine="0"/>
              <w:jc w:val="center"/>
            </w:pPr>
            <w:r w:rsidRPr="00125E99">
              <w:t>2</w:t>
            </w:r>
          </w:p>
        </w:tc>
        <w:tc>
          <w:tcPr>
            <w:tcW w:w="2673" w:type="pct"/>
            <w:tcBorders>
              <w:top w:val="single" w:sz="6" w:space="0" w:color="000000"/>
              <w:left w:val="single" w:sz="6" w:space="0" w:color="000000"/>
              <w:bottom w:val="single" w:sz="6" w:space="0" w:color="000000"/>
              <w:right w:val="single" w:sz="6" w:space="0" w:color="000000"/>
            </w:tcBorders>
            <w:hideMark/>
          </w:tcPr>
          <w:p w14:paraId="0033F746" w14:textId="77777777" w:rsidR="005A4957" w:rsidRPr="00125E99" w:rsidRDefault="005A4957" w:rsidP="00AA4855">
            <w:pPr>
              <w:spacing w:before="150" w:after="150"/>
              <w:ind w:firstLine="0"/>
              <w:jc w:val="center"/>
            </w:pPr>
            <w:r w:rsidRPr="00125E99">
              <w:t>Від чотирьох до трьох років</w:t>
            </w:r>
          </w:p>
        </w:tc>
        <w:tc>
          <w:tcPr>
            <w:tcW w:w="0" w:type="auto"/>
            <w:tcBorders>
              <w:top w:val="single" w:sz="6" w:space="0" w:color="000000"/>
              <w:left w:val="single" w:sz="6" w:space="0" w:color="000000"/>
              <w:bottom w:val="single" w:sz="6" w:space="0" w:color="000000"/>
              <w:right w:val="single" w:sz="6" w:space="0" w:color="000000"/>
            </w:tcBorders>
            <w:hideMark/>
          </w:tcPr>
          <w:p w14:paraId="64A1F9EA" w14:textId="77777777" w:rsidR="005A4957" w:rsidRPr="00125E99" w:rsidRDefault="005A4957" w:rsidP="00AA4855">
            <w:pPr>
              <w:spacing w:before="150" w:after="150"/>
              <w:ind w:firstLine="0"/>
              <w:jc w:val="center"/>
            </w:pPr>
            <w:r w:rsidRPr="00125E99">
              <w:t>80</w:t>
            </w:r>
          </w:p>
        </w:tc>
      </w:tr>
      <w:tr w:rsidR="005A4957" w:rsidRPr="00125E99" w14:paraId="0C23A118"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7BA875F8" w14:textId="77777777" w:rsidR="005A4957" w:rsidRPr="00125E99" w:rsidRDefault="005A4957" w:rsidP="00AA4855">
            <w:pPr>
              <w:spacing w:before="150" w:after="150"/>
              <w:ind w:firstLine="0"/>
              <w:jc w:val="center"/>
            </w:pPr>
            <w:r w:rsidRPr="00125E99">
              <w:t>3</w:t>
            </w:r>
          </w:p>
        </w:tc>
        <w:tc>
          <w:tcPr>
            <w:tcW w:w="2673" w:type="pct"/>
            <w:tcBorders>
              <w:top w:val="single" w:sz="6" w:space="0" w:color="000000"/>
              <w:left w:val="single" w:sz="6" w:space="0" w:color="000000"/>
              <w:bottom w:val="single" w:sz="6" w:space="0" w:color="000000"/>
              <w:right w:val="single" w:sz="6" w:space="0" w:color="000000"/>
            </w:tcBorders>
            <w:hideMark/>
          </w:tcPr>
          <w:p w14:paraId="08C29439" w14:textId="77777777" w:rsidR="005A4957" w:rsidRPr="00125E99" w:rsidRDefault="005A4957" w:rsidP="00AA4855">
            <w:pPr>
              <w:spacing w:before="150" w:after="150"/>
              <w:ind w:firstLine="0"/>
              <w:jc w:val="center"/>
            </w:pPr>
            <w:r w:rsidRPr="00125E99">
              <w:t>Від трьох до двох років</w:t>
            </w:r>
          </w:p>
        </w:tc>
        <w:tc>
          <w:tcPr>
            <w:tcW w:w="0" w:type="auto"/>
            <w:tcBorders>
              <w:top w:val="single" w:sz="6" w:space="0" w:color="000000"/>
              <w:left w:val="single" w:sz="6" w:space="0" w:color="000000"/>
              <w:bottom w:val="single" w:sz="6" w:space="0" w:color="000000"/>
              <w:right w:val="single" w:sz="6" w:space="0" w:color="000000"/>
            </w:tcBorders>
            <w:hideMark/>
          </w:tcPr>
          <w:p w14:paraId="2BBCFC31" w14:textId="77777777" w:rsidR="005A4957" w:rsidRPr="00125E99" w:rsidRDefault="005A4957" w:rsidP="00AA4855">
            <w:pPr>
              <w:spacing w:before="150" w:after="150"/>
              <w:ind w:firstLine="0"/>
              <w:jc w:val="center"/>
            </w:pPr>
            <w:r w:rsidRPr="00125E99">
              <w:t>60</w:t>
            </w:r>
          </w:p>
        </w:tc>
      </w:tr>
      <w:tr w:rsidR="005A4957" w:rsidRPr="00125E99" w14:paraId="73EE9600"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4DE7DF86" w14:textId="77777777" w:rsidR="005A4957" w:rsidRPr="00125E99" w:rsidRDefault="005A4957" w:rsidP="00AA4855">
            <w:pPr>
              <w:spacing w:before="150" w:after="150"/>
              <w:ind w:firstLine="0"/>
              <w:jc w:val="center"/>
            </w:pPr>
            <w:r w:rsidRPr="00125E99">
              <w:t>4</w:t>
            </w:r>
          </w:p>
        </w:tc>
        <w:tc>
          <w:tcPr>
            <w:tcW w:w="2673" w:type="pct"/>
            <w:tcBorders>
              <w:top w:val="single" w:sz="6" w:space="0" w:color="000000"/>
              <w:left w:val="single" w:sz="6" w:space="0" w:color="000000"/>
              <w:bottom w:val="single" w:sz="6" w:space="0" w:color="000000"/>
              <w:right w:val="single" w:sz="6" w:space="0" w:color="000000"/>
            </w:tcBorders>
            <w:hideMark/>
          </w:tcPr>
          <w:p w14:paraId="5376EE4C" w14:textId="77777777" w:rsidR="005A4957" w:rsidRPr="00125E99" w:rsidRDefault="005A4957" w:rsidP="00AA4855">
            <w:pPr>
              <w:spacing w:before="150" w:after="150"/>
              <w:ind w:firstLine="0"/>
              <w:jc w:val="center"/>
            </w:pPr>
            <w:r w:rsidRPr="00125E99">
              <w:t>Від двох до одного року</w:t>
            </w:r>
          </w:p>
        </w:tc>
        <w:tc>
          <w:tcPr>
            <w:tcW w:w="0" w:type="auto"/>
            <w:tcBorders>
              <w:top w:val="single" w:sz="6" w:space="0" w:color="000000"/>
              <w:left w:val="single" w:sz="6" w:space="0" w:color="000000"/>
              <w:bottom w:val="single" w:sz="6" w:space="0" w:color="000000"/>
              <w:right w:val="single" w:sz="6" w:space="0" w:color="000000"/>
            </w:tcBorders>
            <w:hideMark/>
          </w:tcPr>
          <w:p w14:paraId="14A0B28D" w14:textId="77777777" w:rsidR="005A4957" w:rsidRPr="00125E99" w:rsidRDefault="005A4957" w:rsidP="00AA4855">
            <w:pPr>
              <w:spacing w:before="150" w:after="150"/>
              <w:ind w:firstLine="0"/>
              <w:jc w:val="center"/>
            </w:pPr>
            <w:r w:rsidRPr="00125E99">
              <w:t>40</w:t>
            </w:r>
          </w:p>
        </w:tc>
      </w:tr>
      <w:tr w:rsidR="005A4957" w:rsidRPr="00125E99" w14:paraId="2E8FD17C" w14:textId="77777777" w:rsidTr="00AA4855">
        <w:trPr>
          <w:jc w:val="center"/>
        </w:trPr>
        <w:tc>
          <w:tcPr>
            <w:tcW w:w="425" w:type="pct"/>
            <w:tcBorders>
              <w:top w:val="single" w:sz="6" w:space="0" w:color="000000"/>
              <w:left w:val="single" w:sz="6" w:space="0" w:color="000000"/>
              <w:bottom w:val="single" w:sz="6" w:space="0" w:color="000000"/>
              <w:right w:val="single" w:sz="6" w:space="0" w:color="000000"/>
            </w:tcBorders>
          </w:tcPr>
          <w:p w14:paraId="22FD627B" w14:textId="77777777" w:rsidR="005A4957" w:rsidRPr="00125E99" w:rsidRDefault="005A4957" w:rsidP="00AA4855">
            <w:pPr>
              <w:spacing w:before="150" w:after="150"/>
              <w:ind w:firstLine="0"/>
              <w:jc w:val="center"/>
            </w:pPr>
            <w:r w:rsidRPr="00125E99">
              <w:t>5</w:t>
            </w:r>
          </w:p>
        </w:tc>
        <w:tc>
          <w:tcPr>
            <w:tcW w:w="2673" w:type="pct"/>
            <w:tcBorders>
              <w:top w:val="single" w:sz="6" w:space="0" w:color="000000"/>
              <w:left w:val="single" w:sz="6" w:space="0" w:color="000000"/>
              <w:bottom w:val="single" w:sz="6" w:space="0" w:color="000000"/>
              <w:right w:val="single" w:sz="6" w:space="0" w:color="000000"/>
            </w:tcBorders>
            <w:hideMark/>
          </w:tcPr>
          <w:p w14:paraId="6DB7D27C" w14:textId="77777777" w:rsidR="005A4957" w:rsidRPr="00125E99" w:rsidRDefault="005A4957" w:rsidP="00AA4855">
            <w:pPr>
              <w:spacing w:before="150" w:after="150"/>
              <w:ind w:firstLine="0"/>
              <w:jc w:val="center"/>
            </w:pPr>
            <w:r w:rsidRPr="00125E99">
              <w:t>Менше одного року</w:t>
            </w:r>
          </w:p>
        </w:tc>
        <w:tc>
          <w:tcPr>
            <w:tcW w:w="0" w:type="auto"/>
            <w:tcBorders>
              <w:top w:val="single" w:sz="6" w:space="0" w:color="000000"/>
              <w:left w:val="single" w:sz="6" w:space="0" w:color="000000"/>
              <w:bottom w:val="single" w:sz="6" w:space="0" w:color="000000"/>
              <w:right w:val="single" w:sz="6" w:space="0" w:color="000000"/>
            </w:tcBorders>
            <w:hideMark/>
          </w:tcPr>
          <w:p w14:paraId="4012DC07" w14:textId="77777777" w:rsidR="005A4957" w:rsidRPr="00125E99" w:rsidRDefault="005A4957" w:rsidP="00AA4855">
            <w:pPr>
              <w:spacing w:before="150" w:after="150"/>
              <w:ind w:firstLine="0"/>
              <w:jc w:val="center"/>
            </w:pPr>
            <w:r w:rsidRPr="00125E99">
              <w:t>20</w:t>
            </w:r>
          </w:p>
        </w:tc>
      </w:tr>
    </w:tbl>
    <w:p w14:paraId="5E644CD3" w14:textId="77777777" w:rsidR="005A4957" w:rsidRPr="00125E99" w:rsidRDefault="005A4957" w:rsidP="005A4957">
      <w:pPr>
        <w:pStyle w:val="afb"/>
        <w:shd w:val="clear" w:color="auto" w:fill="FFFFFF"/>
        <w:tabs>
          <w:tab w:val="left" w:pos="709"/>
          <w:tab w:val="left" w:pos="993"/>
        </w:tabs>
        <w:ind w:left="709" w:firstLine="0"/>
      </w:pPr>
    </w:p>
    <w:p w14:paraId="48E41F22" w14:textId="2FF7B690" w:rsidR="005A4957" w:rsidRPr="00125E99" w:rsidRDefault="005A4957" w:rsidP="00C72A34">
      <w:pPr>
        <w:pStyle w:val="afb"/>
        <w:numPr>
          <w:ilvl w:val="0"/>
          <w:numId w:val="39"/>
        </w:numPr>
        <w:shd w:val="clear" w:color="auto" w:fill="FFFFFF"/>
        <w:tabs>
          <w:tab w:val="left" w:pos="993"/>
        </w:tabs>
      </w:pPr>
      <w:r w:rsidRPr="00125E99">
        <w:t>Приклад</w:t>
      </w:r>
      <w:r w:rsidR="00270756" w:rsidRPr="00125E99">
        <w:t xml:space="preserve"> </w:t>
      </w:r>
      <w:r w:rsidR="00E31952" w:rsidRPr="00125E99">
        <w:t xml:space="preserve">№ </w:t>
      </w:r>
      <w:r w:rsidR="00270756" w:rsidRPr="00125E99">
        <w:t>1.</w:t>
      </w:r>
    </w:p>
    <w:p w14:paraId="728B2514" w14:textId="44D8DA36" w:rsidR="005A4957" w:rsidRPr="00125E99" w:rsidRDefault="005A4957" w:rsidP="005A4957">
      <w:pPr>
        <w:pStyle w:val="afb"/>
        <w:shd w:val="clear" w:color="auto" w:fill="FFFFFF"/>
        <w:tabs>
          <w:tab w:val="left" w:pos="993"/>
          <w:tab w:val="left" w:pos="1134"/>
        </w:tabs>
        <w:ind w:left="0"/>
      </w:pPr>
      <w:r w:rsidRPr="00125E99">
        <w:t xml:space="preserve">Строк, на який небанківський гарант залучив кошти на умова </w:t>
      </w:r>
      <w:proofErr w:type="spellStart"/>
      <w:r w:rsidRPr="00125E99">
        <w:t>субординованого</w:t>
      </w:r>
      <w:proofErr w:type="spellEnd"/>
      <w:r w:rsidRPr="00125E99">
        <w:t xml:space="preserve"> боргу, складає сім років (з 01.02.2020 до 31.01.2027).</w:t>
      </w:r>
    </w:p>
    <w:p w14:paraId="5F1A6647" w14:textId="06DC2CA5" w:rsidR="005A4957" w:rsidRPr="00125E99" w:rsidRDefault="005A4957" w:rsidP="005A4957">
      <w:pPr>
        <w:pStyle w:val="afb"/>
        <w:shd w:val="clear" w:color="auto" w:fill="FFFFFF"/>
        <w:tabs>
          <w:tab w:val="left" w:pos="993"/>
        </w:tabs>
        <w:ind w:left="0"/>
      </w:pPr>
      <w:r w:rsidRPr="00125E99">
        <w:t xml:space="preserve">Сума залучених коштів на умовах </w:t>
      </w:r>
      <w:proofErr w:type="spellStart"/>
      <w:r w:rsidRPr="00125E99">
        <w:t>субординованого</w:t>
      </w:r>
      <w:proofErr w:type="spellEnd"/>
      <w:r w:rsidRPr="00125E99">
        <w:t xml:space="preserve"> боргу, на яку отримано д</w:t>
      </w:r>
      <w:r w:rsidR="009D73BC" w:rsidRPr="00125E99">
        <w:t xml:space="preserve">озвіл,  </w:t>
      </w:r>
      <w:r w:rsidR="00270756" w:rsidRPr="00125E99">
        <w:t>до</w:t>
      </w:r>
      <w:r w:rsidR="009D73BC" w:rsidRPr="00125E99">
        <w:t>р</w:t>
      </w:r>
      <w:r w:rsidR="00270756" w:rsidRPr="00125E99">
        <w:t>ів</w:t>
      </w:r>
      <w:r w:rsidR="009D73BC" w:rsidRPr="00125E99">
        <w:t>нює</w:t>
      </w:r>
      <w:r w:rsidRPr="00125E99">
        <w:t xml:space="preserve"> 600 000 грн.</w:t>
      </w:r>
    </w:p>
    <w:p w14:paraId="12D28EEF" w14:textId="4FDDA383" w:rsidR="005A4957" w:rsidRPr="00125E99" w:rsidRDefault="005A4957" w:rsidP="005A4957">
      <w:pPr>
        <w:pStyle w:val="afb"/>
        <w:shd w:val="clear" w:color="auto" w:fill="FFFFFF"/>
        <w:tabs>
          <w:tab w:val="left" w:pos="993"/>
        </w:tabs>
        <w:ind w:left="0"/>
      </w:pPr>
      <w:r w:rsidRPr="00125E99">
        <w:t xml:space="preserve">Розрахунок суми </w:t>
      </w:r>
      <w:proofErr w:type="spellStart"/>
      <w:r w:rsidRPr="00125E99">
        <w:t>субординованого</w:t>
      </w:r>
      <w:proofErr w:type="spellEnd"/>
      <w:r w:rsidRPr="00125E99">
        <w:t xml:space="preserve"> боргу, що включається до РК, здійснюється так:</w:t>
      </w:r>
    </w:p>
    <w:p w14:paraId="04D6C791" w14:textId="77777777" w:rsidR="00C2113A" w:rsidRPr="00125E99" w:rsidRDefault="00C2113A" w:rsidP="005A4957">
      <w:pPr>
        <w:pStyle w:val="afb"/>
        <w:shd w:val="clear" w:color="auto" w:fill="FFFFFF"/>
        <w:tabs>
          <w:tab w:val="left" w:pos="993"/>
        </w:tabs>
        <w:ind w:left="0"/>
      </w:pPr>
    </w:p>
    <w:p w14:paraId="32C211D6" w14:textId="205D9EAE" w:rsidR="005A4957" w:rsidRPr="00125E99" w:rsidRDefault="005A4957" w:rsidP="00C2113A">
      <w:pPr>
        <w:pStyle w:val="afb"/>
        <w:numPr>
          <w:ilvl w:val="0"/>
          <w:numId w:val="35"/>
        </w:numPr>
        <w:shd w:val="clear" w:color="auto" w:fill="FFFFFF"/>
        <w:tabs>
          <w:tab w:val="left" w:pos="709"/>
          <w:tab w:val="left" w:pos="993"/>
        </w:tabs>
      </w:pPr>
      <w:r w:rsidRPr="00125E99">
        <w:t>з 01.02.2020 до 31.01.2023  – 100% або 600 000 грн;</w:t>
      </w:r>
    </w:p>
    <w:p w14:paraId="429D3800" w14:textId="77777777" w:rsidR="00C2113A" w:rsidRPr="00125E99" w:rsidRDefault="00C2113A" w:rsidP="00C2113A">
      <w:pPr>
        <w:pStyle w:val="afb"/>
        <w:shd w:val="clear" w:color="auto" w:fill="FFFFFF"/>
        <w:tabs>
          <w:tab w:val="left" w:pos="709"/>
          <w:tab w:val="left" w:pos="993"/>
        </w:tabs>
        <w:ind w:left="1069" w:firstLine="0"/>
      </w:pPr>
    </w:p>
    <w:p w14:paraId="5A32FC42" w14:textId="60026CD2" w:rsidR="005A4957" w:rsidRPr="00125E99" w:rsidRDefault="005A4957" w:rsidP="00C2113A">
      <w:pPr>
        <w:pStyle w:val="afb"/>
        <w:numPr>
          <w:ilvl w:val="0"/>
          <w:numId w:val="35"/>
        </w:numPr>
        <w:shd w:val="clear" w:color="auto" w:fill="FFFFFF"/>
        <w:tabs>
          <w:tab w:val="left" w:pos="709"/>
          <w:tab w:val="left" w:pos="993"/>
        </w:tabs>
      </w:pPr>
      <w:r w:rsidRPr="00125E99">
        <w:t>з 01.02.2023 до 31.01.2024 – 80% або 480 000 грн;</w:t>
      </w:r>
    </w:p>
    <w:p w14:paraId="52DCC167" w14:textId="77777777" w:rsidR="00C2113A" w:rsidRPr="00125E99" w:rsidRDefault="00C2113A" w:rsidP="00C2113A">
      <w:pPr>
        <w:pStyle w:val="afb"/>
      </w:pPr>
    </w:p>
    <w:p w14:paraId="71044EAF" w14:textId="3AE59C40" w:rsidR="005A4957" w:rsidRPr="00125E99" w:rsidRDefault="005A4957" w:rsidP="00C2113A">
      <w:pPr>
        <w:pStyle w:val="afb"/>
        <w:numPr>
          <w:ilvl w:val="0"/>
          <w:numId w:val="35"/>
        </w:numPr>
        <w:shd w:val="clear" w:color="auto" w:fill="FFFFFF"/>
        <w:tabs>
          <w:tab w:val="left" w:pos="709"/>
          <w:tab w:val="left" w:pos="993"/>
        </w:tabs>
      </w:pPr>
      <w:r w:rsidRPr="00125E99">
        <w:t>з 01.02.2024 до 31.01.2024 –  60% або 360 000 грн;</w:t>
      </w:r>
    </w:p>
    <w:p w14:paraId="6BA7C196" w14:textId="77777777" w:rsidR="00C2113A" w:rsidRPr="00125E99" w:rsidRDefault="00C2113A" w:rsidP="00C2113A">
      <w:pPr>
        <w:pStyle w:val="afb"/>
      </w:pPr>
    </w:p>
    <w:p w14:paraId="4D4B8031" w14:textId="77F7C171" w:rsidR="005A4957" w:rsidRPr="00125E99" w:rsidRDefault="005A4957" w:rsidP="00BC2A2A">
      <w:pPr>
        <w:pStyle w:val="afb"/>
        <w:numPr>
          <w:ilvl w:val="0"/>
          <w:numId w:val="35"/>
        </w:numPr>
        <w:shd w:val="clear" w:color="auto" w:fill="FFFFFF"/>
        <w:tabs>
          <w:tab w:val="left" w:pos="709"/>
          <w:tab w:val="left" w:pos="993"/>
        </w:tabs>
      </w:pPr>
      <w:r w:rsidRPr="00125E99">
        <w:t>з 01.02.2025 до 31.01.2026 –  40% або 240 000 грн;</w:t>
      </w:r>
    </w:p>
    <w:p w14:paraId="7F267A5C" w14:textId="77777777" w:rsidR="00C2113A" w:rsidRPr="00125E99" w:rsidRDefault="00C2113A" w:rsidP="00BC2A2A">
      <w:pPr>
        <w:pStyle w:val="afb"/>
      </w:pPr>
    </w:p>
    <w:p w14:paraId="6481B1F0" w14:textId="783F0012" w:rsidR="005A4957" w:rsidRPr="00125E99" w:rsidRDefault="005A4957" w:rsidP="00BC2A2A">
      <w:pPr>
        <w:pStyle w:val="afb"/>
        <w:numPr>
          <w:ilvl w:val="0"/>
          <w:numId w:val="35"/>
        </w:numPr>
        <w:shd w:val="clear" w:color="auto" w:fill="FFFFFF"/>
        <w:tabs>
          <w:tab w:val="left" w:pos="709"/>
          <w:tab w:val="left" w:pos="993"/>
        </w:tabs>
      </w:pPr>
      <w:r w:rsidRPr="00125E99">
        <w:t>з 01.02.2026 до 31.01.2027 –  20% або 120 000 грн.</w:t>
      </w:r>
    </w:p>
    <w:p w14:paraId="5DEA340F" w14:textId="77777777" w:rsidR="00E31952" w:rsidRPr="00125E99" w:rsidRDefault="00E31952" w:rsidP="00270756">
      <w:pPr>
        <w:pStyle w:val="afb"/>
        <w:shd w:val="clear" w:color="auto" w:fill="FFFFFF"/>
        <w:tabs>
          <w:tab w:val="left" w:pos="993"/>
        </w:tabs>
        <w:ind w:left="0"/>
      </w:pPr>
    </w:p>
    <w:p w14:paraId="238E274E" w14:textId="586DBB1B" w:rsidR="00270756" w:rsidRPr="00125E99" w:rsidRDefault="00270756" w:rsidP="00786A6A">
      <w:pPr>
        <w:pStyle w:val="afb"/>
        <w:numPr>
          <w:ilvl w:val="0"/>
          <w:numId w:val="39"/>
        </w:numPr>
        <w:shd w:val="clear" w:color="auto" w:fill="FFFFFF"/>
        <w:tabs>
          <w:tab w:val="left" w:pos="993"/>
        </w:tabs>
      </w:pPr>
      <w:r w:rsidRPr="00125E99">
        <w:t xml:space="preserve">Приклад </w:t>
      </w:r>
      <w:r w:rsidR="00E31952" w:rsidRPr="00125E99">
        <w:t xml:space="preserve">№ </w:t>
      </w:r>
      <w:r w:rsidRPr="00125E99">
        <w:t>2</w:t>
      </w:r>
      <w:r w:rsidR="00E31952" w:rsidRPr="00125E99">
        <w:t>.</w:t>
      </w:r>
    </w:p>
    <w:p w14:paraId="1F86A272" w14:textId="77777777" w:rsidR="00270756" w:rsidRPr="00125E99" w:rsidRDefault="00270756" w:rsidP="00270756">
      <w:pPr>
        <w:pStyle w:val="afb"/>
        <w:shd w:val="clear" w:color="auto" w:fill="FFFFFF"/>
        <w:tabs>
          <w:tab w:val="left" w:pos="993"/>
          <w:tab w:val="left" w:pos="1134"/>
        </w:tabs>
        <w:ind w:left="0"/>
      </w:pPr>
      <w:r w:rsidRPr="00125E99">
        <w:t xml:space="preserve">Строк, на який небанківський гарант залучив кошти на умова </w:t>
      </w:r>
      <w:proofErr w:type="spellStart"/>
      <w:r w:rsidRPr="00125E99">
        <w:t>субординованого</w:t>
      </w:r>
      <w:proofErr w:type="spellEnd"/>
      <w:r w:rsidRPr="00125E99">
        <w:t xml:space="preserve"> боргу, складає сім років (з 01.02.2020 до 31.01.2027).</w:t>
      </w:r>
    </w:p>
    <w:p w14:paraId="0B12B15B" w14:textId="1FB0AACE" w:rsidR="00270756" w:rsidRPr="00125E99" w:rsidRDefault="00270756" w:rsidP="00270756">
      <w:pPr>
        <w:pStyle w:val="afb"/>
        <w:shd w:val="clear" w:color="auto" w:fill="FFFFFF"/>
        <w:tabs>
          <w:tab w:val="left" w:pos="993"/>
        </w:tabs>
        <w:ind w:left="0"/>
      </w:pPr>
      <w:r w:rsidRPr="00125E99">
        <w:t xml:space="preserve">Сума залучених коштів на умовах </w:t>
      </w:r>
      <w:proofErr w:type="spellStart"/>
      <w:r w:rsidRPr="00125E99">
        <w:t>субординованого</w:t>
      </w:r>
      <w:proofErr w:type="spellEnd"/>
      <w:r w:rsidRPr="00125E99">
        <w:t xml:space="preserve"> боргу, на яку отримано дозвіл,  дорівнює</w:t>
      </w:r>
      <w:r w:rsidR="00C2113A" w:rsidRPr="00125E99">
        <w:t xml:space="preserve"> 600 000 грн, при цьому</w:t>
      </w:r>
      <w:r w:rsidRPr="00125E99">
        <w:t xml:space="preserve"> небанківський</w:t>
      </w:r>
      <w:r w:rsidR="00C2113A" w:rsidRPr="00125E99">
        <w:t xml:space="preserve"> гарант</w:t>
      </w:r>
      <w:r w:rsidR="007141A9" w:rsidRPr="00125E99">
        <w:t xml:space="preserve"> 01</w:t>
      </w:r>
      <w:r w:rsidRPr="00125E99">
        <w:t>.</w:t>
      </w:r>
      <w:r w:rsidR="007141A9" w:rsidRPr="00125E99">
        <w:t>07</w:t>
      </w:r>
      <w:r w:rsidRPr="00125E99">
        <w:t xml:space="preserve">.2023 здійснив дострокове погашення </w:t>
      </w:r>
      <w:proofErr w:type="spellStart"/>
      <w:r w:rsidRPr="00125E99">
        <w:t>субординованого</w:t>
      </w:r>
      <w:proofErr w:type="spellEnd"/>
      <w:r w:rsidRPr="00125E99">
        <w:t xml:space="preserve"> боргу на суму 100 000 грн.</w:t>
      </w:r>
    </w:p>
    <w:p w14:paraId="45023D0B" w14:textId="58107037" w:rsidR="00270756" w:rsidRPr="00125E99" w:rsidRDefault="00270756" w:rsidP="00270756">
      <w:pPr>
        <w:pStyle w:val="afb"/>
        <w:shd w:val="clear" w:color="auto" w:fill="FFFFFF"/>
        <w:tabs>
          <w:tab w:val="left" w:pos="993"/>
        </w:tabs>
        <w:ind w:left="0"/>
      </w:pPr>
      <w:r w:rsidRPr="00125E99">
        <w:t xml:space="preserve">Розрахунок суми </w:t>
      </w:r>
      <w:proofErr w:type="spellStart"/>
      <w:r w:rsidRPr="00125E99">
        <w:t>субординованого</w:t>
      </w:r>
      <w:proofErr w:type="spellEnd"/>
      <w:r w:rsidRPr="00125E99">
        <w:t xml:space="preserve"> боргу, що включається до РК з урахуванням достроково погашеної суми </w:t>
      </w:r>
      <w:proofErr w:type="spellStart"/>
      <w:r w:rsidRPr="00125E99">
        <w:t>субординованого</w:t>
      </w:r>
      <w:proofErr w:type="spellEnd"/>
      <w:r w:rsidRPr="00125E99">
        <w:t xml:space="preserve"> боргу, здійснюється так:</w:t>
      </w:r>
    </w:p>
    <w:p w14:paraId="085AA2EF" w14:textId="01DC55FD" w:rsidR="009D73BC" w:rsidRPr="00125E99" w:rsidRDefault="009D73BC" w:rsidP="00DF171E">
      <w:pPr>
        <w:pStyle w:val="afb"/>
        <w:numPr>
          <w:ilvl w:val="0"/>
          <w:numId w:val="36"/>
        </w:numPr>
        <w:shd w:val="clear" w:color="auto" w:fill="FFFFFF"/>
        <w:tabs>
          <w:tab w:val="left" w:pos="709"/>
          <w:tab w:val="left" w:pos="993"/>
        </w:tabs>
      </w:pPr>
      <w:r w:rsidRPr="00125E99">
        <w:t>з 01.02.2020 до 31.01.2023  – 100% або 600 000 грн;</w:t>
      </w:r>
    </w:p>
    <w:p w14:paraId="68F4A122" w14:textId="77777777" w:rsidR="00BC2A2A" w:rsidRPr="00125E99" w:rsidRDefault="00BC2A2A" w:rsidP="009D73BC">
      <w:pPr>
        <w:pStyle w:val="afb"/>
        <w:shd w:val="clear" w:color="auto" w:fill="FFFFFF"/>
        <w:tabs>
          <w:tab w:val="left" w:pos="709"/>
          <w:tab w:val="left" w:pos="993"/>
        </w:tabs>
        <w:ind w:left="0"/>
      </w:pPr>
    </w:p>
    <w:p w14:paraId="1829657F" w14:textId="67801AE7" w:rsidR="009D73BC" w:rsidRPr="00125E99" w:rsidRDefault="009D73BC" w:rsidP="00DF171E">
      <w:pPr>
        <w:pStyle w:val="afb"/>
        <w:numPr>
          <w:ilvl w:val="0"/>
          <w:numId w:val="36"/>
        </w:numPr>
        <w:shd w:val="clear" w:color="auto" w:fill="FFFFFF"/>
        <w:tabs>
          <w:tab w:val="left" w:pos="709"/>
          <w:tab w:val="left" w:pos="993"/>
        </w:tabs>
      </w:pPr>
      <w:r w:rsidRPr="00125E99">
        <w:t>з 01.02.2023 до 30.06.2023 – 80% або 480 000 грн;</w:t>
      </w:r>
    </w:p>
    <w:p w14:paraId="5DD4F3D8" w14:textId="77777777" w:rsidR="00BC2A2A" w:rsidRPr="00125E99" w:rsidRDefault="00BC2A2A" w:rsidP="009D73BC">
      <w:pPr>
        <w:pStyle w:val="afb"/>
        <w:shd w:val="clear" w:color="auto" w:fill="FFFFFF"/>
        <w:tabs>
          <w:tab w:val="left" w:pos="709"/>
          <w:tab w:val="left" w:pos="993"/>
        </w:tabs>
        <w:ind w:left="0"/>
      </w:pPr>
    </w:p>
    <w:p w14:paraId="7E45FE1C" w14:textId="26C5B42A" w:rsidR="009D73BC" w:rsidRPr="00125E99" w:rsidRDefault="009D73BC" w:rsidP="00DF171E">
      <w:pPr>
        <w:pStyle w:val="afb"/>
        <w:numPr>
          <w:ilvl w:val="0"/>
          <w:numId w:val="36"/>
        </w:numPr>
        <w:shd w:val="clear" w:color="auto" w:fill="FFFFFF"/>
        <w:tabs>
          <w:tab w:val="left" w:pos="709"/>
          <w:tab w:val="left" w:pos="993"/>
        </w:tabs>
      </w:pPr>
      <w:r w:rsidRPr="00125E99">
        <w:t>з 01.07.2023 до 31</w:t>
      </w:r>
      <w:r w:rsidR="00270756" w:rsidRPr="00125E99">
        <w:t>.01.2024 – 80% або 400</w:t>
      </w:r>
      <w:r w:rsidRPr="00125E99">
        <w:t> 000 грн</w:t>
      </w:r>
    </w:p>
    <w:p w14:paraId="45D2BF55" w14:textId="77777777" w:rsidR="00BC2A2A" w:rsidRPr="00125E99" w:rsidRDefault="00BC2A2A" w:rsidP="009D73BC">
      <w:pPr>
        <w:pStyle w:val="afb"/>
        <w:shd w:val="clear" w:color="auto" w:fill="FFFFFF"/>
        <w:tabs>
          <w:tab w:val="left" w:pos="709"/>
          <w:tab w:val="left" w:pos="993"/>
        </w:tabs>
        <w:ind w:left="0"/>
      </w:pPr>
    </w:p>
    <w:p w14:paraId="0727753C" w14:textId="0F59D8D1" w:rsidR="009D73BC" w:rsidRPr="00125E99" w:rsidRDefault="009D73BC" w:rsidP="00DF171E">
      <w:pPr>
        <w:pStyle w:val="afb"/>
        <w:numPr>
          <w:ilvl w:val="0"/>
          <w:numId w:val="36"/>
        </w:numPr>
        <w:shd w:val="clear" w:color="auto" w:fill="FFFFFF"/>
        <w:tabs>
          <w:tab w:val="left" w:pos="709"/>
          <w:tab w:val="left" w:pos="993"/>
        </w:tabs>
      </w:pPr>
      <w:r w:rsidRPr="00125E99">
        <w:t>з 01.02.2024 до 31.01.2024</w:t>
      </w:r>
      <w:r w:rsidR="00270756" w:rsidRPr="00125E99">
        <w:t xml:space="preserve"> –  60% або 30</w:t>
      </w:r>
      <w:r w:rsidRPr="00125E99">
        <w:t>0 000 грн;</w:t>
      </w:r>
    </w:p>
    <w:p w14:paraId="233A74DB" w14:textId="77777777" w:rsidR="00BC2A2A" w:rsidRPr="00125E99" w:rsidRDefault="00BC2A2A" w:rsidP="009D73BC">
      <w:pPr>
        <w:pStyle w:val="afb"/>
        <w:shd w:val="clear" w:color="auto" w:fill="FFFFFF"/>
        <w:tabs>
          <w:tab w:val="left" w:pos="709"/>
          <w:tab w:val="left" w:pos="993"/>
        </w:tabs>
        <w:ind w:left="0"/>
      </w:pPr>
    </w:p>
    <w:p w14:paraId="0FC925D6" w14:textId="271C90D2" w:rsidR="009D73BC" w:rsidRPr="00125E99" w:rsidRDefault="009D73BC" w:rsidP="00DF171E">
      <w:pPr>
        <w:pStyle w:val="afb"/>
        <w:numPr>
          <w:ilvl w:val="0"/>
          <w:numId w:val="36"/>
        </w:numPr>
        <w:shd w:val="clear" w:color="auto" w:fill="FFFFFF"/>
        <w:tabs>
          <w:tab w:val="left" w:pos="709"/>
          <w:tab w:val="left" w:pos="993"/>
        </w:tabs>
      </w:pPr>
      <w:r w:rsidRPr="00125E99">
        <w:t>з 01.02.2025 до 31.01.2026</w:t>
      </w:r>
      <w:r w:rsidR="00270756" w:rsidRPr="00125E99">
        <w:t xml:space="preserve"> –  40% або 20</w:t>
      </w:r>
      <w:r w:rsidRPr="00125E99">
        <w:t>0 000 грн;</w:t>
      </w:r>
    </w:p>
    <w:p w14:paraId="5AB6CE91" w14:textId="77777777" w:rsidR="00BC2A2A" w:rsidRPr="00125E99" w:rsidRDefault="00BC2A2A" w:rsidP="009D73BC">
      <w:pPr>
        <w:pStyle w:val="afb"/>
        <w:shd w:val="clear" w:color="auto" w:fill="FFFFFF"/>
        <w:tabs>
          <w:tab w:val="left" w:pos="709"/>
          <w:tab w:val="left" w:pos="993"/>
        </w:tabs>
        <w:ind w:left="0"/>
      </w:pPr>
    </w:p>
    <w:p w14:paraId="32BD4E92" w14:textId="40947F4B" w:rsidR="009D73BC" w:rsidRPr="00125E99" w:rsidRDefault="009D73BC" w:rsidP="00DF171E">
      <w:pPr>
        <w:pStyle w:val="afb"/>
        <w:numPr>
          <w:ilvl w:val="0"/>
          <w:numId w:val="36"/>
        </w:numPr>
        <w:shd w:val="clear" w:color="auto" w:fill="FFFFFF"/>
        <w:tabs>
          <w:tab w:val="left" w:pos="709"/>
          <w:tab w:val="left" w:pos="993"/>
        </w:tabs>
      </w:pPr>
      <w:r w:rsidRPr="00125E99">
        <w:t>з 01.02.2026 до 31.01.2027 –  20% або</w:t>
      </w:r>
      <w:r w:rsidR="00270756" w:rsidRPr="00125E99">
        <w:t xml:space="preserve"> 10</w:t>
      </w:r>
      <w:r w:rsidRPr="00125E99">
        <w:t>0 000 грн.</w:t>
      </w:r>
    </w:p>
    <w:p w14:paraId="2FBDAEB6" w14:textId="77777777" w:rsidR="009D73BC" w:rsidRPr="00125E99" w:rsidRDefault="009D73BC" w:rsidP="009D73BC">
      <w:pPr>
        <w:pStyle w:val="afb"/>
        <w:shd w:val="clear" w:color="auto" w:fill="FFFFFF"/>
        <w:tabs>
          <w:tab w:val="left" w:pos="993"/>
        </w:tabs>
        <w:ind w:left="0"/>
      </w:pPr>
    </w:p>
    <w:p w14:paraId="7C50DFA1" w14:textId="6F58B488" w:rsidR="00FF5C20" w:rsidRPr="00125E99" w:rsidRDefault="00FF5C20" w:rsidP="00CF3675">
      <w:pPr>
        <w:pStyle w:val="rvps2"/>
        <w:shd w:val="clear" w:color="auto" w:fill="FFFFFF"/>
        <w:tabs>
          <w:tab w:val="left" w:pos="709"/>
        </w:tabs>
        <w:spacing w:beforeAutospacing="0" w:afterAutospacing="0"/>
        <w:jc w:val="both"/>
        <w:rPr>
          <w:sz w:val="28"/>
          <w:szCs w:val="28"/>
        </w:rPr>
      </w:pPr>
    </w:p>
    <w:p w14:paraId="69F216F1" w14:textId="2D399C8A" w:rsidR="007A32D3" w:rsidRPr="00125E99" w:rsidRDefault="007A32D3" w:rsidP="00CF3675">
      <w:pPr>
        <w:pStyle w:val="rvps2"/>
        <w:shd w:val="clear" w:color="auto" w:fill="FFFFFF"/>
        <w:tabs>
          <w:tab w:val="left" w:pos="709"/>
        </w:tabs>
        <w:spacing w:beforeAutospacing="0" w:afterAutospacing="0"/>
        <w:jc w:val="both"/>
        <w:rPr>
          <w:sz w:val="28"/>
          <w:szCs w:val="28"/>
        </w:rPr>
      </w:pPr>
    </w:p>
    <w:p w14:paraId="163720F1" w14:textId="57664012" w:rsidR="007A32D3" w:rsidRPr="00125E99" w:rsidRDefault="007A32D3" w:rsidP="007A32D3">
      <w:pPr>
        <w:pStyle w:val="rvps2"/>
        <w:shd w:val="clear" w:color="auto" w:fill="FFFFFF"/>
        <w:tabs>
          <w:tab w:val="left" w:pos="709"/>
        </w:tabs>
        <w:spacing w:beforeAutospacing="0" w:afterAutospacing="0"/>
        <w:jc w:val="both"/>
        <w:rPr>
          <w:sz w:val="28"/>
          <w:szCs w:val="28"/>
        </w:rPr>
      </w:pPr>
    </w:p>
    <w:sectPr w:rsidR="007A32D3" w:rsidRPr="00125E99">
      <w:headerReference w:type="default" r:id="rId20"/>
      <w:pgSz w:w="11906" w:h="16838"/>
      <w:pgMar w:top="766" w:right="567" w:bottom="1701" w:left="1701" w:header="709"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731BE" w14:textId="77777777" w:rsidR="004E334B" w:rsidRDefault="004E334B">
      <w:r>
        <w:separator/>
      </w:r>
    </w:p>
  </w:endnote>
  <w:endnote w:type="continuationSeparator" w:id="0">
    <w:p w14:paraId="19EB4BAD" w14:textId="77777777" w:rsidR="004E334B" w:rsidRDefault="004E334B">
      <w:r>
        <w:continuationSeparator/>
      </w:r>
    </w:p>
  </w:endnote>
  <w:endnote w:type="continuationNotice" w:id="1">
    <w:p w14:paraId="3CE697D2" w14:textId="77777777" w:rsidR="004E334B" w:rsidRDefault="004E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Liberation Sans">
    <w:altName w:val="Times New Roman"/>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4566" w14:textId="77777777" w:rsidR="00464DBF" w:rsidRDefault="00464DBF">
    <w:pPr>
      <w:pStyle w:val="af4"/>
      <w:tabs>
        <w:tab w:val="clear" w:pos="4819"/>
      </w:tabs>
      <w:jc w:val="right"/>
    </w:pPr>
    <w:r>
      <w:rPr>
        <w:color w:val="FFFFFF"/>
      </w:rPr>
      <w:t>Шаблон</w:t>
    </w:r>
  </w:p>
  <w:p w14:paraId="401C3E89" w14:textId="77777777" w:rsidR="00464DBF" w:rsidRDefault="00464DBF">
    <w:pPr>
      <w:pStyle w:val="af5"/>
      <w:jc w:val="right"/>
    </w:pPr>
    <w:r>
      <w:rPr>
        <w:color w:val="FFFFFF"/>
      </w:rPr>
      <w:t>Шаблон</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48CD" w14:textId="77777777" w:rsidR="00464DBF" w:rsidRDefault="00464DB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3971" w14:textId="77777777" w:rsidR="004E334B" w:rsidRDefault="004E334B">
      <w:r>
        <w:separator/>
      </w:r>
    </w:p>
  </w:footnote>
  <w:footnote w:type="continuationSeparator" w:id="0">
    <w:p w14:paraId="78718F2F" w14:textId="77777777" w:rsidR="004E334B" w:rsidRDefault="004E334B">
      <w:r>
        <w:continuationSeparator/>
      </w:r>
    </w:p>
  </w:footnote>
  <w:footnote w:type="continuationNotice" w:id="1">
    <w:p w14:paraId="005C828C" w14:textId="77777777" w:rsidR="004E334B" w:rsidRDefault="004E33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72ED" w14:textId="2E79D60C" w:rsidR="00464DBF" w:rsidRDefault="00464DBF">
    <w:pPr>
      <w:pStyle w:val="af4"/>
      <w:ind w:firstLine="0"/>
      <w:jc w:val="center"/>
    </w:pPr>
    <w:r>
      <w:fldChar w:fldCharType="begin"/>
    </w:r>
    <w:r>
      <w:instrText>PAGE</w:instrText>
    </w:r>
    <w:r>
      <w:fldChar w:fldCharType="separate"/>
    </w:r>
    <w:r w:rsidR="00CC323C">
      <w:rPr>
        <w:noProof/>
      </w:rPr>
      <w:t>2</w:t>
    </w:r>
    <w:r>
      <w:fldChar w:fldCharType="end"/>
    </w:r>
  </w:p>
  <w:p w14:paraId="0201D4D4" w14:textId="77777777" w:rsidR="00464DBF" w:rsidRDefault="00464DB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1926" w14:textId="570299E8" w:rsidR="00464DBF" w:rsidRDefault="00464DBF">
    <w:pPr>
      <w:pStyle w:val="af4"/>
      <w:ind w:firstLine="0"/>
      <w:jc w:val="center"/>
    </w:pPr>
    <w:r>
      <w:fldChar w:fldCharType="begin"/>
    </w:r>
    <w:r>
      <w:instrText>PAGE</w:instrText>
    </w:r>
    <w:r>
      <w:fldChar w:fldCharType="separate"/>
    </w:r>
    <w:r w:rsidR="00CC323C">
      <w:rPr>
        <w:noProof/>
      </w:rPr>
      <w:t>3</w:t>
    </w:r>
    <w:r>
      <w:fldChar w:fldCharType="end"/>
    </w:r>
  </w:p>
  <w:p w14:paraId="7558A3DD" w14:textId="77777777" w:rsidR="00464DBF" w:rsidRDefault="00464DB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5DA1" w14:textId="77777777" w:rsidR="00B664BB" w:rsidRDefault="00B664BB" w:rsidP="00B664BB">
    <w:pPr>
      <w:pStyle w:val="af4"/>
      <w:ind w:firstLine="0"/>
      <w:jc w:val="center"/>
    </w:pPr>
    <w:r>
      <w:t>2</w:t>
    </w:r>
  </w:p>
  <w:p w14:paraId="314A86E3" w14:textId="113254BC" w:rsidR="00464DBF" w:rsidRDefault="00464DBF" w:rsidP="00DF171E">
    <w:pPr>
      <w:pStyle w:val="af4"/>
      <w:ind w:firstLine="0"/>
      <w:jc w:val="right"/>
    </w:pPr>
    <w:r>
      <w:t>Продовження додатка</w:t>
    </w:r>
  </w:p>
  <w:p w14:paraId="13258F87" w14:textId="77777777" w:rsidR="00464DBF" w:rsidRDefault="00464DBF" w:rsidP="00DF171E">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16C"/>
    <w:multiLevelType w:val="hybridMultilevel"/>
    <w:tmpl w:val="1F16166A"/>
    <w:lvl w:ilvl="0" w:tplc="6810CA06">
      <w:start w:val="8"/>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C079DE"/>
    <w:multiLevelType w:val="multilevel"/>
    <w:tmpl w:val="1CF07CBE"/>
    <w:lvl w:ilvl="0">
      <w:start w:val="1"/>
      <w:numFmt w:val="decimal"/>
      <w:lvlText w:val="%1)"/>
      <w:lvlJc w:val="left"/>
      <w:pPr>
        <w:ind w:left="4046"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2" w15:restartNumberingAfterBreak="0">
    <w:nsid w:val="0CF42BC9"/>
    <w:multiLevelType w:val="hybridMultilevel"/>
    <w:tmpl w:val="FBEE9FDE"/>
    <w:lvl w:ilvl="0" w:tplc="2E84CBA6">
      <w:start w:val="19"/>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C1016A"/>
    <w:multiLevelType w:val="hybridMultilevel"/>
    <w:tmpl w:val="BD028A84"/>
    <w:lvl w:ilvl="0" w:tplc="677ECF0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8E3217"/>
    <w:multiLevelType w:val="hybridMultilevel"/>
    <w:tmpl w:val="6CBE4820"/>
    <w:lvl w:ilvl="0" w:tplc="DFC888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95519C1"/>
    <w:multiLevelType w:val="hybridMultilevel"/>
    <w:tmpl w:val="DB36617A"/>
    <w:lvl w:ilvl="0" w:tplc="BECC26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ED0A85"/>
    <w:multiLevelType w:val="hybridMultilevel"/>
    <w:tmpl w:val="A8FC72E0"/>
    <w:lvl w:ilvl="0" w:tplc="D0A02B52">
      <w:start w:val="25"/>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405A1E"/>
    <w:multiLevelType w:val="hybridMultilevel"/>
    <w:tmpl w:val="9C620882"/>
    <w:lvl w:ilvl="0" w:tplc="CDD61E1C">
      <w:start w:val="9"/>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76E5CD8"/>
    <w:multiLevelType w:val="hybridMultilevel"/>
    <w:tmpl w:val="063A5220"/>
    <w:lvl w:ilvl="0" w:tplc="1556D558">
      <w:start w:val="26"/>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703F62"/>
    <w:multiLevelType w:val="hybridMultilevel"/>
    <w:tmpl w:val="E53CE578"/>
    <w:lvl w:ilvl="0" w:tplc="EC365D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FBF7C62"/>
    <w:multiLevelType w:val="hybridMultilevel"/>
    <w:tmpl w:val="34529F40"/>
    <w:lvl w:ilvl="0" w:tplc="3EE67D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459799A"/>
    <w:multiLevelType w:val="hybridMultilevel"/>
    <w:tmpl w:val="95D45088"/>
    <w:lvl w:ilvl="0" w:tplc="A8AA29EA">
      <w:start w:val="17"/>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CD746D"/>
    <w:multiLevelType w:val="hybridMultilevel"/>
    <w:tmpl w:val="8EDE5932"/>
    <w:lvl w:ilvl="0" w:tplc="2B92CA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C525B8A"/>
    <w:multiLevelType w:val="hybridMultilevel"/>
    <w:tmpl w:val="FDB4965A"/>
    <w:lvl w:ilvl="0" w:tplc="E40408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ECE3444"/>
    <w:multiLevelType w:val="hybridMultilevel"/>
    <w:tmpl w:val="B58C3964"/>
    <w:lvl w:ilvl="0" w:tplc="10828D76">
      <w:start w:val="20"/>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9441AA"/>
    <w:multiLevelType w:val="hybridMultilevel"/>
    <w:tmpl w:val="B8562B3E"/>
    <w:lvl w:ilvl="0" w:tplc="07E4EE90">
      <w:start w:val="1"/>
      <w:numFmt w:val="decimal"/>
      <w:lvlText w:val="%1)"/>
      <w:lvlJc w:val="left"/>
      <w:pPr>
        <w:ind w:left="1141" w:hanging="360"/>
      </w:pPr>
      <w:rPr>
        <w:rFonts w:hint="default"/>
      </w:rPr>
    </w:lvl>
    <w:lvl w:ilvl="1" w:tplc="04220019" w:tentative="1">
      <w:start w:val="1"/>
      <w:numFmt w:val="lowerLetter"/>
      <w:lvlText w:val="%2."/>
      <w:lvlJc w:val="left"/>
      <w:pPr>
        <w:ind w:left="1861" w:hanging="360"/>
      </w:pPr>
    </w:lvl>
    <w:lvl w:ilvl="2" w:tplc="0422001B" w:tentative="1">
      <w:start w:val="1"/>
      <w:numFmt w:val="lowerRoman"/>
      <w:lvlText w:val="%3."/>
      <w:lvlJc w:val="right"/>
      <w:pPr>
        <w:ind w:left="2581" w:hanging="180"/>
      </w:pPr>
    </w:lvl>
    <w:lvl w:ilvl="3" w:tplc="0422000F" w:tentative="1">
      <w:start w:val="1"/>
      <w:numFmt w:val="decimal"/>
      <w:lvlText w:val="%4."/>
      <w:lvlJc w:val="left"/>
      <w:pPr>
        <w:ind w:left="3301" w:hanging="360"/>
      </w:pPr>
    </w:lvl>
    <w:lvl w:ilvl="4" w:tplc="04220019" w:tentative="1">
      <w:start w:val="1"/>
      <w:numFmt w:val="lowerLetter"/>
      <w:lvlText w:val="%5."/>
      <w:lvlJc w:val="left"/>
      <w:pPr>
        <w:ind w:left="4021" w:hanging="360"/>
      </w:pPr>
    </w:lvl>
    <w:lvl w:ilvl="5" w:tplc="0422001B" w:tentative="1">
      <w:start w:val="1"/>
      <w:numFmt w:val="lowerRoman"/>
      <w:lvlText w:val="%6."/>
      <w:lvlJc w:val="right"/>
      <w:pPr>
        <w:ind w:left="4741" w:hanging="180"/>
      </w:pPr>
    </w:lvl>
    <w:lvl w:ilvl="6" w:tplc="0422000F" w:tentative="1">
      <w:start w:val="1"/>
      <w:numFmt w:val="decimal"/>
      <w:lvlText w:val="%7."/>
      <w:lvlJc w:val="left"/>
      <w:pPr>
        <w:ind w:left="5461" w:hanging="360"/>
      </w:pPr>
    </w:lvl>
    <w:lvl w:ilvl="7" w:tplc="04220019" w:tentative="1">
      <w:start w:val="1"/>
      <w:numFmt w:val="lowerLetter"/>
      <w:lvlText w:val="%8."/>
      <w:lvlJc w:val="left"/>
      <w:pPr>
        <w:ind w:left="6181" w:hanging="360"/>
      </w:pPr>
    </w:lvl>
    <w:lvl w:ilvl="8" w:tplc="0422001B" w:tentative="1">
      <w:start w:val="1"/>
      <w:numFmt w:val="lowerRoman"/>
      <w:lvlText w:val="%9."/>
      <w:lvlJc w:val="right"/>
      <w:pPr>
        <w:ind w:left="6901" w:hanging="180"/>
      </w:pPr>
    </w:lvl>
  </w:abstractNum>
  <w:abstractNum w:abstractNumId="16" w15:restartNumberingAfterBreak="0">
    <w:nsid w:val="411F7CB5"/>
    <w:multiLevelType w:val="hybridMultilevel"/>
    <w:tmpl w:val="20F6D7CE"/>
    <w:lvl w:ilvl="0" w:tplc="9A02ED0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2A20373"/>
    <w:multiLevelType w:val="multilevel"/>
    <w:tmpl w:val="4B78C770"/>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23"/>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8" w15:restartNumberingAfterBreak="0">
    <w:nsid w:val="465F67C3"/>
    <w:multiLevelType w:val="hybridMultilevel"/>
    <w:tmpl w:val="C4AA5002"/>
    <w:lvl w:ilvl="0" w:tplc="851856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92C5EAF"/>
    <w:multiLevelType w:val="hybridMultilevel"/>
    <w:tmpl w:val="5F9C4EA8"/>
    <w:lvl w:ilvl="0" w:tplc="E94EDA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B3B5DA8"/>
    <w:multiLevelType w:val="hybridMultilevel"/>
    <w:tmpl w:val="F378FA6A"/>
    <w:lvl w:ilvl="0" w:tplc="5E9E5BE0">
      <w:start w:val="1"/>
      <w:numFmt w:val="decimal"/>
      <w:lvlText w:val="%1)"/>
      <w:lvlJc w:val="left"/>
      <w:pPr>
        <w:ind w:left="1081" w:hanging="37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BE95CB4"/>
    <w:multiLevelType w:val="hybridMultilevel"/>
    <w:tmpl w:val="754A265C"/>
    <w:lvl w:ilvl="0" w:tplc="DD16140C">
      <w:start w:val="28"/>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EAD13DF"/>
    <w:multiLevelType w:val="hybridMultilevel"/>
    <w:tmpl w:val="99BC50C4"/>
    <w:lvl w:ilvl="0" w:tplc="A5C272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EC76F79"/>
    <w:multiLevelType w:val="hybridMultilevel"/>
    <w:tmpl w:val="85488268"/>
    <w:lvl w:ilvl="0" w:tplc="0218A9D4">
      <w:start w:val="21"/>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0922881"/>
    <w:multiLevelType w:val="hybridMultilevel"/>
    <w:tmpl w:val="22C06D36"/>
    <w:lvl w:ilvl="0" w:tplc="27A2D1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214127A"/>
    <w:multiLevelType w:val="hybridMultilevel"/>
    <w:tmpl w:val="0956A1E8"/>
    <w:lvl w:ilvl="0" w:tplc="9A02ED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3204C2A"/>
    <w:multiLevelType w:val="hybridMultilevel"/>
    <w:tmpl w:val="34203FA4"/>
    <w:lvl w:ilvl="0" w:tplc="4754BCFC">
      <w:start w:val="21"/>
      <w:numFmt w:val="decimal"/>
      <w:lvlText w:val="%1."/>
      <w:lvlJc w:val="left"/>
      <w:pPr>
        <w:ind w:left="6031"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3302393"/>
    <w:multiLevelType w:val="hybridMultilevel"/>
    <w:tmpl w:val="CB7E4D7E"/>
    <w:lvl w:ilvl="0" w:tplc="E744D9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69F6997"/>
    <w:multiLevelType w:val="hybridMultilevel"/>
    <w:tmpl w:val="23C8343A"/>
    <w:lvl w:ilvl="0" w:tplc="DB804EDC">
      <w:start w:val="14"/>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7BF7CC7"/>
    <w:multiLevelType w:val="hybridMultilevel"/>
    <w:tmpl w:val="3D24E05E"/>
    <w:lvl w:ilvl="0" w:tplc="DC0678CA">
      <w:start w:val="1"/>
      <w:numFmt w:val="decimal"/>
      <w:lvlText w:val="%1)"/>
      <w:lvlJc w:val="left"/>
      <w:pPr>
        <w:ind w:left="1141" w:hanging="360"/>
      </w:pPr>
      <w:rPr>
        <w:rFonts w:hint="default"/>
      </w:rPr>
    </w:lvl>
    <w:lvl w:ilvl="1" w:tplc="04220019" w:tentative="1">
      <w:start w:val="1"/>
      <w:numFmt w:val="lowerLetter"/>
      <w:lvlText w:val="%2."/>
      <w:lvlJc w:val="left"/>
      <w:pPr>
        <w:ind w:left="1861" w:hanging="360"/>
      </w:pPr>
    </w:lvl>
    <w:lvl w:ilvl="2" w:tplc="0422001B" w:tentative="1">
      <w:start w:val="1"/>
      <w:numFmt w:val="lowerRoman"/>
      <w:lvlText w:val="%3."/>
      <w:lvlJc w:val="right"/>
      <w:pPr>
        <w:ind w:left="2581" w:hanging="180"/>
      </w:pPr>
    </w:lvl>
    <w:lvl w:ilvl="3" w:tplc="0422000F" w:tentative="1">
      <w:start w:val="1"/>
      <w:numFmt w:val="decimal"/>
      <w:lvlText w:val="%4."/>
      <w:lvlJc w:val="left"/>
      <w:pPr>
        <w:ind w:left="3301" w:hanging="360"/>
      </w:pPr>
    </w:lvl>
    <w:lvl w:ilvl="4" w:tplc="04220019" w:tentative="1">
      <w:start w:val="1"/>
      <w:numFmt w:val="lowerLetter"/>
      <w:lvlText w:val="%5."/>
      <w:lvlJc w:val="left"/>
      <w:pPr>
        <w:ind w:left="4021" w:hanging="360"/>
      </w:pPr>
    </w:lvl>
    <w:lvl w:ilvl="5" w:tplc="0422001B" w:tentative="1">
      <w:start w:val="1"/>
      <w:numFmt w:val="lowerRoman"/>
      <w:lvlText w:val="%6."/>
      <w:lvlJc w:val="right"/>
      <w:pPr>
        <w:ind w:left="4741" w:hanging="180"/>
      </w:pPr>
    </w:lvl>
    <w:lvl w:ilvl="6" w:tplc="0422000F" w:tentative="1">
      <w:start w:val="1"/>
      <w:numFmt w:val="decimal"/>
      <w:lvlText w:val="%7."/>
      <w:lvlJc w:val="left"/>
      <w:pPr>
        <w:ind w:left="5461" w:hanging="360"/>
      </w:pPr>
    </w:lvl>
    <w:lvl w:ilvl="7" w:tplc="04220019" w:tentative="1">
      <w:start w:val="1"/>
      <w:numFmt w:val="lowerLetter"/>
      <w:lvlText w:val="%8."/>
      <w:lvlJc w:val="left"/>
      <w:pPr>
        <w:ind w:left="6181" w:hanging="360"/>
      </w:pPr>
    </w:lvl>
    <w:lvl w:ilvl="8" w:tplc="0422001B" w:tentative="1">
      <w:start w:val="1"/>
      <w:numFmt w:val="lowerRoman"/>
      <w:lvlText w:val="%9."/>
      <w:lvlJc w:val="right"/>
      <w:pPr>
        <w:ind w:left="6901" w:hanging="180"/>
      </w:pPr>
    </w:lvl>
  </w:abstractNum>
  <w:abstractNum w:abstractNumId="30" w15:restartNumberingAfterBreak="0">
    <w:nsid w:val="584F247F"/>
    <w:multiLevelType w:val="hybridMultilevel"/>
    <w:tmpl w:val="83885B1C"/>
    <w:lvl w:ilvl="0" w:tplc="7D2A5C68">
      <w:start w:val="1"/>
      <w:numFmt w:val="decimal"/>
      <w:lvlText w:val="%1."/>
      <w:lvlJc w:val="left"/>
      <w:pPr>
        <w:ind w:left="1117" w:hanging="4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98052A1"/>
    <w:multiLevelType w:val="hybridMultilevel"/>
    <w:tmpl w:val="89528C1C"/>
    <w:lvl w:ilvl="0" w:tplc="E4809B2E">
      <w:start w:val="11"/>
      <w:numFmt w:val="decimal"/>
      <w:lvlText w:val="%1."/>
      <w:lvlJc w:val="left"/>
      <w:pPr>
        <w:ind w:left="1636"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E442E9E"/>
    <w:multiLevelType w:val="hybridMultilevel"/>
    <w:tmpl w:val="E57EBC10"/>
    <w:lvl w:ilvl="0" w:tplc="70E8E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62440F0E"/>
    <w:multiLevelType w:val="hybridMultilevel"/>
    <w:tmpl w:val="85BE29AC"/>
    <w:lvl w:ilvl="0" w:tplc="DEEA623A">
      <w:start w:val="33"/>
      <w:numFmt w:val="decimal"/>
      <w:lvlText w:val="%1."/>
      <w:lvlJc w:val="left"/>
      <w:pPr>
        <w:ind w:left="248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92F0AF9"/>
    <w:multiLevelType w:val="hybridMultilevel"/>
    <w:tmpl w:val="899226DC"/>
    <w:lvl w:ilvl="0" w:tplc="7E0C2F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9C61302"/>
    <w:multiLevelType w:val="hybridMultilevel"/>
    <w:tmpl w:val="C3A62D98"/>
    <w:lvl w:ilvl="0" w:tplc="9730A7F4">
      <w:start w:val="13"/>
      <w:numFmt w:val="decimal"/>
      <w:lvlText w:val="%1."/>
      <w:lvlJc w:val="left"/>
      <w:pPr>
        <w:ind w:left="914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7525FE"/>
    <w:multiLevelType w:val="hybridMultilevel"/>
    <w:tmpl w:val="596AC256"/>
    <w:lvl w:ilvl="0" w:tplc="2382758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70397FFD"/>
    <w:multiLevelType w:val="hybridMultilevel"/>
    <w:tmpl w:val="CC100B2A"/>
    <w:lvl w:ilvl="0" w:tplc="B2CCF476">
      <w:start w:val="18"/>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075755A"/>
    <w:multiLevelType w:val="hybridMultilevel"/>
    <w:tmpl w:val="EA0691A0"/>
    <w:lvl w:ilvl="0" w:tplc="50DEBA12">
      <w:start w:val="1"/>
      <w:numFmt w:val="decimal"/>
      <w:lvlText w:val="%1)"/>
      <w:lvlJc w:val="left"/>
      <w:pPr>
        <w:ind w:left="1779" w:hanging="360"/>
      </w:pPr>
      <w:rPr>
        <w:rFonts w:hint="default"/>
      </w:rPr>
    </w:lvl>
    <w:lvl w:ilvl="1" w:tplc="04220019" w:tentative="1">
      <w:start w:val="1"/>
      <w:numFmt w:val="lowerLetter"/>
      <w:lvlText w:val="%2."/>
      <w:lvlJc w:val="left"/>
      <w:pPr>
        <w:ind w:left="2499" w:hanging="360"/>
      </w:pPr>
    </w:lvl>
    <w:lvl w:ilvl="2" w:tplc="0422001B" w:tentative="1">
      <w:start w:val="1"/>
      <w:numFmt w:val="lowerRoman"/>
      <w:lvlText w:val="%3."/>
      <w:lvlJc w:val="right"/>
      <w:pPr>
        <w:ind w:left="3219" w:hanging="180"/>
      </w:pPr>
    </w:lvl>
    <w:lvl w:ilvl="3" w:tplc="0422000F" w:tentative="1">
      <w:start w:val="1"/>
      <w:numFmt w:val="decimal"/>
      <w:lvlText w:val="%4."/>
      <w:lvlJc w:val="left"/>
      <w:pPr>
        <w:ind w:left="3939" w:hanging="360"/>
      </w:pPr>
    </w:lvl>
    <w:lvl w:ilvl="4" w:tplc="04220019" w:tentative="1">
      <w:start w:val="1"/>
      <w:numFmt w:val="lowerLetter"/>
      <w:lvlText w:val="%5."/>
      <w:lvlJc w:val="left"/>
      <w:pPr>
        <w:ind w:left="4659" w:hanging="360"/>
      </w:pPr>
    </w:lvl>
    <w:lvl w:ilvl="5" w:tplc="0422001B" w:tentative="1">
      <w:start w:val="1"/>
      <w:numFmt w:val="lowerRoman"/>
      <w:lvlText w:val="%6."/>
      <w:lvlJc w:val="right"/>
      <w:pPr>
        <w:ind w:left="5379" w:hanging="180"/>
      </w:pPr>
    </w:lvl>
    <w:lvl w:ilvl="6" w:tplc="0422000F" w:tentative="1">
      <w:start w:val="1"/>
      <w:numFmt w:val="decimal"/>
      <w:lvlText w:val="%7."/>
      <w:lvlJc w:val="left"/>
      <w:pPr>
        <w:ind w:left="6099" w:hanging="360"/>
      </w:pPr>
    </w:lvl>
    <w:lvl w:ilvl="7" w:tplc="04220019" w:tentative="1">
      <w:start w:val="1"/>
      <w:numFmt w:val="lowerLetter"/>
      <w:lvlText w:val="%8."/>
      <w:lvlJc w:val="left"/>
      <w:pPr>
        <w:ind w:left="6819" w:hanging="360"/>
      </w:pPr>
    </w:lvl>
    <w:lvl w:ilvl="8" w:tplc="0422001B" w:tentative="1">
      <w:start w:val="1"/>
      <w:numFmt w:val="lowerRoman"/>
      <w:lvlText w:val="%9."/>
      <w:lvlJc w:val="right"/>
      <w:pPr>
        <w:ind w:left="7539" w:hanging="180"/>
      </w:pPr>
    </w:lvl>
  </w:abstractNum>
  <w:abstractNum w:abstractNumId="39" w15:restartNumberingAfterBreak="0">
    <w:nsid w:val="709F63E4"/>
    <w:multiLevelType w:val="hybridMultilevel"/>
    <w:tmpl w:val="29E6B3F2"/>
    <w:lvl w:ilvl="0" w:tplc="401860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732776D2"/>
    <w:multiLevelType w:val="hybridMultilevel"/>
    <w:tmpl w:val="5EFE9A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CE5082"/>
    <w:multiLevelType w:val="hybridMultilevel"/>
    <w:tmpl w:val="81F875D4"/>
    <w:lvl w:ilvl="0" w:tplc="A41AEBF0">
      <w:start w:val="9"/>
      <w:numFmt w:val="decimal"/>
      <w:lvlText w:val="%1."/>
      <w:lvlJc w:val="left"/>
      <w:pPr>
        <w:ind w:left="1211"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8E65D99"/>
    <w:multiLevelType w:val="hybridMultilevel"/>
    <w:tmpl w:val="110C5F7A"/>
    <w:lvl w:ilvl="0" w:tplc="4C32B2E8">
      <w:start w:val="18"/>
      <w:numFmt w:val="decimal"/>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CDA09C3"/>
    <w:multiLevelType w:val="hybridMultilevel"/>
    <w:tmpl w:val="84C028AE"/>
    <w:lvl w:ilvl="0" w:tplc="8B9459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0"/>
  </w:num>
  <w:num w:numId="2">
    <w:abstractNumId w:val="13"/>
  </w:num>
  <w:num w:numId="3">
    <w:abstractNumId w:val="31"/>
  </w:num>
  <w:num w:numId="4">
    <w:abstractNumId w:val="2"/>
  </w:num>
  <w:num w:numId="5">
    <w:abstractNumId w:val="19"/>
  </w:num>
  <w:num w:numId="6">
    <w:abstractNumId w:val="5"/>
  </w:num>
  <w:num w:numId="7">
    <w:abstractNumId w:val="0"/>
  </w:num>
  <w:num w:numId="8">
    <w:abstractNumId w:val="8"/>
  </w:num>
  <w:num w:numId="9">
    <w:abstractNumId w:val="9"/>
  </w:num>
  <w:num w:numId="10">
    <w:abstractNumId w:val="36"/>
  </w:num>
  <w:num w:numId="11">
    <w:abstractNumId w:val="16"/>
  </w:num>
  <w:num w:numId="12">
    <w:abstractNumId w:val="25"/>
  </w:num>
  <w:num w:numId="13">
    <w:abstractNumId w:val="12"/>
  </w:num>
  <w:num w:numId="14">
    <w:abstractNumId w:val="26"/>
  </w:num>
  <w:num w:numId="15">
    <w:abstractNumId w:val="37"/>
  </w:num>
  <w:num w:numId="16">
    <w:abstractNumId w:val="6"/>
  </w:num>
  <w:num w:numId="17">
    <w:abstractNumId w:val="33"/>
  </w:num>
  <w:num w:numId="18">
    <w:abstractNumId w:val="20"/>
  </w:num>
  <w:num w:numId="19">
    <w:abstractNumId w:val="41"/>
  </w:num>
  <w:num w:numId="20">
    <w:abstractNumId w:val="27"/>
  </w:num>
  <w:num w:numId="21">
    <w:abstractNumId w:val="24"/>
  </w:num>
  <w:num w:numId="22">
    <w:abstractNumId w:val="35"/>
  </w:num>
  <w:num w:numId="23">
    <w:abstractNumId w:val="14"/>
  </w:num>
  <w:num w:numId="24">
    <w:abstractNumId w:val="21"/>
  </w:num>
  <w:num w:numId="25">
    <w:abstractNumId w:val="15"/>
  </w:num>
  <w:num w:numId="26">
    <w:abstractNumId w:val="7"/>
  </w:num>
  <w:num w:numId="27">
    <w:abstractNumId w:val="28"/>
  </w:num>
  <w:num w:numId="28">
    <w:abstractNumId w:val="3"/>
  </w:num>
  <w:num w:numId="29">
    <w:abstractNumId w:val="4"/>
  </w:num>
  <w:num w:numId="30">
    <w:abstractNumId w:val="29"/>
  </w:num>
  <w:num w:numId="31">
    <w:abstractNumId w:val="1"/>
  </w:num>
  <w:num w:numId="32">
    <w:abstractNumId w:val="18"/>
  </w:num>
  <w:num w:numId="33">
    <w:abstractNumId w:val="10"/>
  </w:num>
  <w:num w:numId="34">
    <w:abstractNumId w:val="40"/>
  </w:num>
  <w:num w:numId="35">
    <w:abstractNumId w:val="22"/>
  </w:num>
  <w:num w:numId="36">
    <w:abstractNumId w:val="43"/>
  </w:num>
  <w:num w:numId="37">
    <w:abstractNumId w:val="42"/>
  </w:num>
  <w:num w:numId="38">
    <w:abstractNumId w:val="23"/>
  </w:num>
  <w:num w:numId="39">
    <w:abstractNumId w:val="34"/>
  </w:num>
  <w:num w:numId="40">
    <w:abstractNumId w:val="38"/>
  </w:num>
  <w:num w:numId="41">
    <w:abstractNumId w:val="11"/>
  </w:num>
  <w:num w:numId="42">
    <w:abstractNumId w:val="39"/>
  </w:num>
  <w:num w:numId="43">
    <w:abstractNumId w:val="17"/>
  </w:num>
  <w:num w:numId="4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20"/>
    <w:rsid w:val="0000101C"/>
    <w:rsid w:val="000012B7"/>
    <w:rsid w:val="0000165A"/>
    <w:rsid w:val="000028BD"/>
    <w:rsid w:val="00004D7D"/>
    <w:rsid w:val="00005ABF"/>
    <w:rsid w:val="000066CA"/>
    <w:rsid w:val="00006993"/>
    <w:rsid w:val="000069C5"/>
    <w:rsid w:val="0000746F"/>
    <w:rsid w:val="00007472"/>
    <w:rsid w:val="00011154"/>
    <w:rsid w:val="000116FB"/>
    <w:rsid w:val="0001228F"/>
    <w:rsid w:val="0001305E"/>
    <w:rsid w:val="00013F62"/>
    <w:rsid w:val="0001438D"/>
    <w:rsid w:val="00014CDE"/>
    <w:rsid w:val="00015636"/>
    <w:rsid w:val="000169DF"/>
    <w:rsid w:val="00016B49"/>
    <w:rsid w:val="000171AB"/>
    <w:rsid w:val="000207A7"/>
    <w:rsid w:val="00021881"/>
    <w:rsid w:val="00022422"/>
    <w:rsid w:val="0002268B"/>
    <w:rsid w:val="0002354A"/>
    <w:rsid w:val="00024051"/>
    <w:rsid w:val="00024260"/>
    <w:rsid w:val="000249B3"/>
    <w:rsid w:val="00024F34"/>
    <w:rsid w:val="00025378"/>
    <w:rsid w:val="00025477"/>
    <w:rsid w:val="000255BA"/>
    <w:rsid w:val="00027DFE"/>
    <w:rsid w:val="0003019B"/>
    <w:rsid w:val="0003179A"/>
    <w:rsid w:val="00032087"/>
    <w:rsid w:val="0003240C"/>
    <w:rsid w:val="00033414"/>
    <w:rsid w:val="00033B34"/>
    <w:rsid w:val="00036637"/>
    <w:rsid w:val="00040C39"/>
    <w:rsid w:val="00042622"/>
    <w:rsid w:val="00042B38"/>
    <w:rsid w:val="00042FB7"/>
    <w:rsid w:val="00043AEC"/>
    <w:rsid w:val="0004485B"/>
    <w:rsid w:val="00047CEE"/>
    <w:rsid w:val="00051305"/>
    <w:rsid w:val="0005177D"/>
    <w:rsid w:val="0005232D"/>
    <w:rsid w:val="00053E7A"/>
    <w:rsid w:val="0005405E"/>
    <w:rsid w:val="0005631A"/>
    <w:rsid w:val="00056714"/>
    <w:rsid w:val="000567CA"/>
    <w:rsid w:val="00060295"/>
    <w:rsid w:val="000604F0"/>
    <w:rsid w:val="00060614"/>
    <w:rsid w:val="00061578"/>
    <w:rsid w:val="000637D8"/>
    <w:rsid w:val="00063CD0"/>
    <w:rsid w:val="0006454A"/>
    <w:rsid w:val="000649C1"/>
    <w:rsid w:val="00064F1E"/>
    <w:rsid w:val="00066244"/>
    <w:rsid w:val="000677C4"/>
    <w:rsid w:val="00067D48"/>
    <w:rsid w:val="000717FE"/>
    <w:rsid w:val="00072595"/>
    <w:rsid w:val="0007349C"/>
    <w:rsid w:val="00074975"/>
    <w:rsid w:val="00075246"/>
    <w:rsid w:val="000763AA"/>
    <w:rsid w:val="0007644C"/>
    <w:rsid w:val="00077BEB"/>
    <w:rsid w:val="000813C6"/>
    <w:rsid w:val="00081905"/>
    <w:rsid w:val="00081F78"/>
    <w:rsid w:val="00082755"/>
    <w:rsid w:val="000834D4"/>
    <w:rsid w:val="000836D6"/>
    <w:rsid w:val="000837A4"/>
    <w:rsid w:val="0008599C"/>
    <w:rsid w:val="0008603D"/>
    <w:rsid w:val="000860B3"/>
    <w:rsid w:val="000865C4"/>
    <w:rsid w:val="000877B3"/>
    <w:rsid w:val="00090027"/>
    <w:rsid w:val="00091A03"/>
    <w:rsid w:val="00091B78"/>
    <w:rsid w:val="000933E6"/>
    <w:rsid w:val="00094052"/>
    <w:rsid w:val="0009406B"/>
    <w:rsid w:val="000945A5"/>
    <w:rsid w:val="0009612E"/>
    <w:rsid w:val="00096665"/>
    <w:rsid w:val="00096924"/>
    <w:rsid w:val="00096A19"/>
    <w:rsid w:val="00096DC9"/>
    <w:rsid w:val="00097186"/>
    <w:rsid w:val="000976CE"/>
    <w:rsid w:val="000A0055"/>
    <w:rsid w:val="000A03A2"/>
    <w:rsid w:val="000A0B53"/>
    <w:rsid w:val="000A1C3B"/>
    <w:rsid w:val="000A24D9"/>
    <w:rsid w:val="000A293C"/>
    <w:rsid w:val="000A3344"/>
    <w:rsid w:val="000A3369"/>
    <w:rsid w:val="000A3EA3"/>
    <w:rsid w:val="000A4327"/>
    <w:rsid w:val="000A54E0"/>
    <w:rsid w:val="000A5A67"/>
    <w:rsid w:val="000A62EF"/>
    <w:rsid w:val="000A672A"/>
    <w:rsid w:val="000A6D70"/>
    <w:rsid w:val="000B0BB8"/>
    <w:rsid w:val="000B0FA4"/>
    <w:rsid w:val="000B127A"/>
    <w:rsid w:val="000B30CE"/>
    <w:rsid w:val="000B42B3"/>
    <w:rsid w:val="000B4701"/>
    <w:rsid w:val="000B496D"/>
    <w:rsid w:val="000B67CC"/>
    <w:rsid w:val="000C02D0"/>
    <w:rsid w:val="000C137C"/>
    <w:rsid w:val="000C1AEE"/>
    <w:rsid w:val="000C1BD8"/>
    <w:rsid w:val="000C1E79"/>
    <w:rsid w:val="000C35FD"/>
    <w:rsid w:val="000C55DC"/>
    <w:rsid w:val="000C6A1D"/>
    <w:rsid w:val="000C7419"/>
    <w:rsid w:val="000C7794"/>
    <w:rsid w:val="000D0776"/>
    <w:rsid w:val="000D1360"/>
    <w:rsid w:val="000D22C9"/>
    <w:rsid w:val="000D353A"/>
    <w:rsid w:val="000D3710"/>
    <w:rsid w:val="000D4162"/>
    <w:rsid w:val="000D50BC"/>
    <w:rsid w:val="000D5D27"/>
    <w:rsid w:val="000D64C7"/>
    <w:rsid w:val="000E2A35"/>
    <w:rsid w:val="000E2ACF"/>
    <w:rsid w:val="000E2F7D"/>
    <w:rsid w:val="000E4349"/>
    <w:rsid w:val="000E65E2"/>
    <w:rsid w:val="000E6847"/>
    <w:rsid w:val="000E7BE6"/>
    <w:rsid w:val="000F0F5E"/>
    <w:rsid w:val="000F0FC5"/>
    <w:rsid w:val="000F114E"/>
    <w:rsid w:val="000F2480"/>
    <w:rsid w:val="000F491E"/>
    <w:rsid w:val="000F512B"/>
    <w:rsid w:val="000F56A7"/>
    <w:rsid w:val="000F73DF"/>
    <w:rsid w:val="000F7745"/>
    <w:rsid w:val="000F7795"/>
    <w:rsid w:val="000F7F57"/>
    <w:rsid w:val="000F7F60"/>
    <w:rsid w:val="001041D3"/>
    <w:rsid w:val="001045F8"/>
    <w:rsid w:val="0010460F"/>
    <w:rsid w:val="001047EE"/>
    <w:rsid w:val="00105825"/>
    <w:rsid w:val="001058D5"/>
    <w:rsid w:val="00107A35"/>
    <w:rsid w:val="00107CB1"/>
    <w:rsid w:val="00111B5C"/>
    <w:rsid w:val="001143B4"/>
    <w:rsid w:val="0011709D"/>
    <w:rsid w:val="00120164"/>
    <w:rsid w:val="0012017C"/>
    <w:rsid w:val="00120BA5"/>
    <w:rsid w:val="00121196"/>
    <w:rsid w:val="00121FBE"/>
    <w:rsid w:val="00122E9B"/>
    <w:rsid w:val="00122F12"/>
    <w:rsid w:val="00125E99"/>
    <w:rsid w:val="00126341"/>
    <w:rsid w:val="001323FB"/>
    <w:rsid w:val="001327B0"/>
    <w:rsid w:val="00134117"/>
    <w:rsid w:val="001345B4"/>
    <w:rsid w:val="00134DAE"/>
    <w:rsid w:val="001352D9"/>
    <w:rsid w:val="0013546F"/>
    <w:rsid w:val="00135572"/>
    <w:rsid w:val="00137503"/>
    <w:rsid w:val="0014071F"/>
    <w:rsid w:val="001407C3"/>
    <w:rsid w:val="001421A3"/>
    <w:rsid w:val="001422A5"/>
    <w:rsid w:val="00142C12"/>
    <w:rsid w:val="00143026"/>
    <w:rsid w:val="00144312"/>
    <w:rsid w:val="00144979"/>
    <w:rsid w:val="00144A34"/>
    <w:rsid w:val="00145E3A"/>
    <w:rsid w:val="001466BE"/>
    <w:rsid w:val="00146F03"/>
    <w:rsid w:val="0014726B"/>
    <w:rsid w:val="00147EAA"/>
    <w:rsid w:val="00150418"/>
    <w:rsid w:val="00150A35"/>
    <w:rsid w:val="00150A67"/>
    <w:rsid w:val="00150A9B"/>
    <w:rsid w:val="00150EBE"/>
    <w:rsid w:val="00150F80"/>
    <w:rsid w:val="0015120C"/>
    <w:rsid w:val="00151687"/>
    <w:rsid w:val="00152720"/>
    <w:rsid w:val="001529FC"/>
    <w:rsid w:val="0015375E"/>
    <w:rsid w:val="00154131"/>
    <w:rsid w:val="00155DDC"/>
    <w:rsid w:val="00157E54"/>
    <w:rsid w:val="00160F2C"/>
    <w:rsid w:val="00161A7C"/>
    <w:rsid w:val="00161AF7"/>
    <w:rsid w:val="00162353"/>
    <w:rsid w:val="00163A6C"/>
    <w:rsid w:val="00163CFC"/>
    <w:rsid w:val="0016487D"/>
    <w:rsid w:val="00164A36"/>
    <w:rsid w:val="0016509D"/>
    <w:rsid w:val="001678CA"/>
    <w:rsid w:val="00170027"/>
    <w:rsid w:val="001701CC"/>
    <w:rsid w:val="00170898"/>
    <w:rsid w:val="001712E3"/>
    <w:rsid w:val="001721B5"/>
    <w:rsid w:val="001721D4"/>
    <w:rsid w:val="00172663"/>
    <w:rsid w:val="00172729"/>
    <w:rsid w:val="00172AEB"/>
    <w:rsid w:val="001752DC"/>
    <w:rsid w:val="0017588A"/>
    <w:rsid w:val="001758B6"/>
    <w:rsid w:val="0017653E"/>
    <w:rsid w:val="00176571"/>
    <w:rsid w:val="001771AA"/>
    <w:rsid w:val="0017736B"/>
    <w:rsid w:val="00177C1A"/>
    <w:rsid w:val="00177E56"/>
    <w:rsid w:val="0018022E"/>
    <w:rsid w:val="00181561"/>
    <w:rsid w:val="00182FCD"/>
    <w:rsid w:val="00183761"/>
    <w:rsid w:val="001837EB"/>
    <w:rsid w:val="00183A14"/>
    <w:rsid w:val="00184890"/>
    <w:rsid w:val="0018560F"/>
    <w:rsid w:val="001868EF"/>
    <w:rsid w:val="001877E7"/>
    <w:rsid w:val="00187B94"/>
    <w:rsid w:val="00190D0F"/>
    <w:rsid w:val="001918A7"/>
    <w:rsid w:val="00191E1E"/>
    <w:rsid w:val="001931B6"/>
    <w:rsid w:val="00193979"/>
    <w:rsid w:val="00193D2F"/>
    <w:rsid w:val="001945E5"/>
    <w:rsid w:val="00195975"/>
    <w:rsid w:val="001959B8"/>
    <w:rsid w:val="00195FEF"/>
    <w:rsid w:val="00196AB4"/>
    <w:rsid w:val="00196AD2"/>
    <w:rsid w:val="00197BA2"/>
    <w:rsid w:val="00197C39"/>
    <w:rsid w:val="001A0CA8"/>
    <w:rsid w:val="001A2D07"/>
    <w:rsid w:val="001A35BF"/>
    <w:rsid w:val="001A5372"/>
    <w:rsid w:val="001A5D55"/>
    <w:rsid w:val="001A6CA3"/>
    <w:rsid w:val="001A76E9"/>
    <w:rsid w:val="001A790B"/>
    <w:rsid w:val="001B0054"/>
    <w:rsid w:val="001B036C"/>
    <w:rsid w:val="001B064B"/>
    <w:rsid w:val="001B09E4"/>
    <w:rsid w:val="001B107D"/>
    <w:rsid w:val="001B3022"/>
    <w:rsid w:val="001B3165"/>
    <w:rsid w:val="001B3BE0"/>
    <w:rsid w:val="001B4A76"/>
    <w:rsid w:val="001B4B52"/>
    <w:rsid w:val="001C0D36"/>
    <w:rsid w:val="001C1B53"/>
    <w:rsid w:val="001C1D9F"/>
    <w:rsid w:val="001C30BA"/>
    <w:rsid w:val="001C399F"/>
    <w:rsid w:val="001C53A4"/>
    <w:rsid w:val="001C5417"/>
    <w:rsid w:val="001C75D1"/>
    <w:rsid w:val="001C7605"/>
    <w:rsid w:val="001D037F"/>
    <w:rsid w:val="001D056E"/>
    <w:rsid w:val="001D2118"/>
    <w:rsid w:val="001D3607"/>
    <w:rsid w:val="001D7E11"/>
    <w:rsid w:val="001E1F8F"/>
    <w:rsid w:val="001E3490"/>
    <w:rsid w:val="001E3A13"/>
    <w:rsid w:val="001E4D4D"/>
    <w:rsid w:val="001E6F7C"/>
    <w:rsid w:val="001E7386"/>
    <w:rsid w:val="001E75B7"/>
    <w:rsid w:val="001F1FF8"/>
    <w:rsid w:val="001F3141"/>
    <w:rsid w:val="001F36CC"/>
    <w:rsid w:val="001F3864"/>
    <w:rsid w:val="001F5C38"/>
    <w:rsid w:val="001F62F3"/>
    <w:rsid w:val="001F6F70"/>
    <w:rsid w:val="001F7C96"/>
    <w:rsid w:val="002000FF"/>
    <w:rsid w:val="002009E0"/>
    <w:rsid w:val="00200A1C"/>
    <w:rsid w:val="002016A6"/>
    <w:rsid w:val="002020A8"/>
    <w:rsid w:val="00203472"/>
    <w:rsid w:val="00204D35"/>
    <w:rsid w:val="00204DE6"/>
    <w:rsid w:val="00206784"/>
    <w:rsid w:val="0020726E"/>
    <w:rsid w:val="002106E6"/>
    <w:rsid w:val="00210A53"/>
    <w:rsid w:val="00210FFD"/>
    <w:rsid w:val="00212EC5"/>
    <w:rsid w:val="00212F21"/>
    <w:rsid w:val="0021448E"/>
    <w:rsid w:val="00214979"/>
    <w:rsid w:val="00214E35"/>
    <w:rsid w:val="00215416"/>
    <w:rsid w:val="0021619B"/>
    <w:rsid w:val="00216D2E"/>
    <w:rsid w:val="002176EC"/>
    <w:rsid w:val="00220793"/>
    <w:rsid w:val="002217D0"/>
    <w:rsid w:val="00221C63"/>
    <w:rsid w:val="002229C9"/>
    <w:rsid w:val="00223333"/>
    <w:rsid w:val="00223CBB"/>
    <w:rsid w:val="0022779C"/>
    <w:rsid w:val="00227BB2"/>
    <w:rsid w:val="002304DC"/>
    <w:rsid w:val="00230949"/>
    <w:rsid w:val="00231486"/>
    <w:rsid w:val="002330F3"/>
    <w:rsid w:val="002340B3"/>
    <w:rsid w:val="002344E7"/>
    <w:rsid w:val="002349E3"/>
    <w:rsid w:val="00235081"/>
    <w:rsid w:val="002354D6"/>
    <w:rsid w:val="0023688C"/>
    <w:rsid w:val="00236F59"/>
    <w:rsid w:val="0023702F"/>
    <w:rsid w:val="00242CDF"/>
    <w:rsid w:val="0024437C"/>
    <w:rsid w:val="00244863"/>
    <w:rsid w:val="00244BEE"/>
    <w:rsid w:val="002452FE"/>
    <w:rsid w:val="00246435"/>
    <w:rsid w:val="00246903"/>
    <w:rsid w:val="00251D31"/>
    <w:rsid w:val="00252BD3"/>
    <w:rsid w:val="00252FAB"/>
    <w:rsid w:val="002535F6"/>
    <w:rsid w:val="00256809"/>
    <w:rsid w:val="00257075"/>
    <w:rsid w:val="00260606"/>
    <w:rsid w:val="00261125"/>
    <w:rsid w:val="00262060"/>
    <w:rsid w:val="002636CF"/>
    <w:rsid w:val="0026459E"/>
    <w:rsid w:val="00264D0F"/>
    <w:rsid w:val="002652D8"/>
    <w:rsid w:val="00265A4B"/>
    <w:rsid w:val="00265E9F"/>
    <w:rsid w:val="00266625"/>
    <w:rsid w:val="00266BE7"/>
    <w:rsid w:val="00267193"/>
    <w:rsid w:val="00267296"/>
    <w:rsid w:val="00267A29"/>
    <w:rsid w:val="00270756"/>
    <w:rsid w:val="002717EC"/>
    <w:rsid w:val="00271878"/>
    <w:rsid w:val="002750FF"/>
    <w:rsid w:val="0027532A"/>
    <w:rsid w:val="002765B2"/>
    <w:rsid w:val="00277358"/>
    <w:rsid w:val="00281A80"/>
    <w:rsid w:val="00281C1D"/>
    <w:rsid w:val="00283BFF"/>
    <w:rsid w:val="00283DE5"/>
    <w:rsid w:val="00285C02"/>
    <w:rsid w:val="0028744B"/>
    <w:rsid w:val="00287987"/>
    <w:rsid w:val="00290898"/>
    <w:rsid w:val="00290E22"/>
    <w:rsid w:val="002940CF"/>
    <w:rsid w:val="0029687F"/>
    <w:rsid w:val="00296DC2"/>
    <w:rsid w:val="002976A1"/>
    <w:rsid w:val="002A0BA5"/>
    <w:rsid w:val="002A1485"/>
    <w:rsid w:val="002A1E68"/>
    <w:rsid w:val="002A2039"/>
    <w:rsid w:val="002A2E8B"/>
    <w:rsid w:val="002A328A"/>
    <w:rsid w:val="002A44E8"/>
    <w:rsid w:val="002A4B99"/>
    <w:rsid w:val="002A5533"/>
    <w:rsid w:val="002A680C"/>
    <w:rsid w:val="002B2807"/>
    <w:rsid w:val="002B3625"/>
    <w:rsid w:val="002B61AC"/>
    <w:rsid w:val="002B6A3D"/>
    <w:rsid w:val="002B6A70"/>
    <w:rsid w:val="002C0079"/>
    <w:rsid w:val="002C167E"/>
    <w:rsid w:val="002C1FC8"/>
    <w:rsid w:val="002C2737"/>
    <w:rsid w:val="002C374D"/>
    <w:rsid w:val="002C3AEC"/>
    <w:rsid w:val="002C3F60"/>
    <w:rsid w:val="002C611D"/>
    <w:rsid w:val="002D07DA"/>
    <w:rsid w:val="002D157B"/>
    <w:rsid w:val="002D1D0F"/>
    <w:rsid w:val="002D2D89"/>
    <w:rsid w:val="002D40A0"/>
    <w:rsid w:val="002D4352"/>
    <w:rsid w:val="002D782F"/>
    <w:rsid w:val="002D79C8"/>
    <w:rsid w:val="002E060A"/>
    <w:rsid w:val="002E0755"/>
    <w:rsid w:val="002E0B3D"/>
    <w:rsid w:val="002E27A2"/>
    <w:rsid w:val="002E3055"/>
    <w:rsid w:val="002E4039"/>
    <w:rsid w:val="002E70E6"/>
    <w:rsid w:val="002E7BF3"/>
    <w:rsid w:val="002F027C"/>
    <w:rsid w:val="002F0CA3"/>
    <w:rsid w:val="002F14BA"/>
    <w:rsid w:val="002F15A3"/>
    <w:rsid w:val="002F2CA0"/>
    <w:rsid w:val="002F3F6E"/>
    <w:rsid w:val="002F4FA0"/>
    <w:rsid w:val="002F5DF2"/>
    <w:rsid w:val="002F75DC"/>
    <w:rsid w:val="002F7F25"/>
    <w:rsid w:val="003015C7"/>
    <w:rsid w:val="00301D1C"/>
    <w:rsid w:val="00302EAF"/>
    <w:rsid w:val="003034D1"/>
    <w:rsid w:val="0030470B"/>
    <w:rsid w:val="003051A0"/>
    <w:rsid w:val="003059B3"/>
    <w:rsid w:val="00307FFC"/>
    <w:rsid w:val="0031044C"/>
    <w:rsid w:val="003115CE"/>
    <w:rsid w:val="0031250E"/>
    <w:rsid w:val="0031392F"/>
    <w:rsid w:val="00313A58"/>
    <w:rsid w:val="003143FC"/>
    <w:rsid w:val="003149F5"/>
    <w:rsid w:val="00314B4B"/>
    <w:rsid w:val="00314B63"/>
    <w:rsid w:val="00315202"/>
    <w:rsid w:val="0031565C"/>
    <w:rsid w:val="00315A41"/>
    <w:rsid w:val="00316EEF"/>
    <w:rsid w:val="00320D99"/>
    <w:rsid w:val="00321051"/>
    <w:rsid w:val="0032224B"/>
    <w:rsid w:val="00322633"/>
    <w:rsid w:val="00323260"/>
    <w:rsid w:val="0032466B"/>
    <w:rsid w:val="00324C31"/>
    <w:rsid w:val="00325DAC"/>
    <w:rsid w:val="00326557"/>
    <w:rsid w:val="003267FD"/>
    <w:rsid w:val="003271E6"/>
    <w:rsid w:val="00327606"/>
    <w:rsid w:val="00330B22"/>
    <w:rsid w:val="0033390F"/>
    <w:rsid w:val="00333FE7"/>
    <w:rsid w:val="0033419D"/>
    <w:rsid w:val="00336BAD"/>
    <w:rsid w:val="003371F7"/>
    <w:rsid w:val="003372D3"/>
    <w:rsid w:val="00337FEE"/>
    <w:rsid w:val="003416D0"/>
    <w:rsid w:val="00343032"/>
    <w:rsid w:val="00344E2A"/>
    <w:rsid w:val="00344FAF"/>
    <w:rsid w:val="00345BE9"/>
    <w:rsid w:val="0034658D"/>
    <w:rsid w:val="003467B1"/>
    <w:rsid w:val="00346D8C"/>
    <w:rsid w:val="00350D21"/>
    <w:rsid w:val="00350F44"/>
    <w:rsid w:val="00351F2D"/>
    <w:rsid w:val="003521A8"/>
    <w:rsid w:val="00352E03"/>
    <w:rsid w:val="00354339"/>
    <w:rsid w:val="0035567A"/>
    <w:rsid w:val="00357213"/>
    <w:rsid w:val="00357892"/>
    <w:rsid w:val="00360ADB"/>
    <w:rsid w:val="00360FE2"/>
    <w:rsid w:val="0036286D"/>
    <w:rsid w:val="00363E72"/>
    <w:rsid w:val="0036684C"/>
    <w:rsid w:val="00367918"/>
    <w:rsid w:val="0037082F"/>
    <w:rsid w:val="003710A1"/>
    <w:rsid w:val="003715E9"/>
    <w:rsid w:val="00371619"/>
    <w:rsid w:val="003732D1"/>
    <w:rsid w:val="0037440E"/>
    <w:rsid w:val="00374605"/>
    <w:rsid w:val="00374AD6"/>
    <w:rsid w:val="003753B4"/>
    <w:rsid w:val="00375753"/>
    <w:rsid w:val="00375993"/>
    <w:rsid w:val="00375CE9"/>
    <w:rsid w:val="00375D9F"/>
    <w:rsid w:val="003765B6"/>
    <w:rsid w:val="00380A8D"/>
    <w:rsid w:val="00382C40"/>
    <w:rsid w:val="00383802"/>
    <w:rsid w:val="00383DDE"/>
    <w:rsid w:val="0038530E"/>
    <w:rsid w:val="00386330"/>
    <w:rsid w:val="0038733F"/>
    <w:rsid w:val="00387973"/>
    <w:rsid w:val="003901DE"/>
    <w:rsid w:val="00391A7F"/>
    <w:rsid w:val="00392E58"/>
    <w:rsid w:val="003935B4"/>
    <w:rsid w:val="00394705"/>
    <w:rsid w:val="00394EA7"/>
    <w:rsid w:val="0039507C"/>
    <w:rsid w:val="003968FD"/>
    <w:rsid w:val="003969EE"/>
    <w:rsid w:val="00397CB4"/>
    <w:rsid w:val="003A07C5"/>
    <w:rsid w:val="003A0F6B"/>
    <w:rsid w:val="003A1298"/>
    <w:rsid w:val="003A1612"/>
    <w:rsid w:val="003A53B0"/>
    <w:rsid w:val="003B022D"/>
    <w:rsid w:val="003B293C"/>
    <w:rsid w:val="003B3866"/>
    <w:rsid w:val="003B3B7D"/>
    <w:rsid w:val="003B405B"/>
    <w:rsid w:val="003B5FE5"/>
    <w:rsid w:val="003B65B0"/>
    <w:rsid w:val="003C1503"/>
    <w:rsid w:val="003C15D8"/>
    <w:rsid w:val="003C1806"/>
    <w:rsid w:val="003C2057"/>
    <w:rsid w:val="003C2595"/>
    <w:rsid w:val="003C2C7A"/>
    <w:rsid w:val="003C32F6"/>
    <w:rsid w:val="003C64FC"/>
    <w:rsid w:val="003C6BDA"/>
    <w:rsid w:val="003D1E2F"/>
    <w:rsid w:val="003D50C0"/>
    <w:rsid w:val="003D6174"/>
    <w:rsid w:val="003D750C"/>
    <w:rsid w:val="003D7B74"/>
    <w:rsid w:val="003E0028"/>
    <w:rsid w:val="003E06B6"/>
    <w:rsid w:val="003E4AF6"/>
    <w:rsid w:val="003E500C"/>
    <w:rsid w:val="003E5134"/>
    <w:rsid w:val="003E59DA"/>
    <w:rsid w:val="003E5D9A"/>
    <w:rsid w:val="003E7F29"/>
    <w:rsid w:val="003F0C7F"/>
    <w:rsid w:val="003F4CB8"/>
    <w:rsid w:val="003F7988"/>
    <w:rsid w:val="00400238"/>
    <w:rsid w:val="0040129B"/>
    <w:rsid w:val="004014A6"/>
    <w:rsid w:val="004019C6"/>
    <w:rsid w:val="004039D1"/>
    <w:rsid w:val="00404779"/>
    <w:rsid w:val="0040503C"/>
    <w:rsid w:val="004052FF"/>
    <w:rsid w:val="0040566E"/>
    <w:rsid w:val="004108A9"/>
    <w:rsid w:val="00411FB5"/>
    <w:rsid w:val="004122D0"/>
    <w:rsid w:val="004127E9"/>
    <w:rsid w:val="0041286C"/>
    <w:rsid w:val="00412C74"/>
    <w:rsid w:val="00413185"/>
    <w:rsid w:val="00413FE9"/>
    <w:rsid w:val="004147B3"/>
    <w:rsid w:val="004152B6"/>
    <w:rsid w:val="00415620"/>
    <w:rsid w:val="00417AEB"/>
    <w:rsid w:val="0042028C"/>
    <w:rsid w:val="00421864"/>
    <w:rsid w:val="00421DE7"/>
    <w:rsid w:val="00423853"/>
    <w:rsid w:val="004242A8"/>
    <w:rsid w:val="00425A23"/>
    <w:rsid w:val="00426B3E"/>
    <w:rsid w:val="004275C4"/>
    <w:rsid w:val="004307F0"/>
    <w:rsid w:val="00430956"/>
    <w:rsid w:val="0043137C"/>
    <w:rsid w:val="00431B22"/>
    <w:rsid w:val="00432117"/>
    <w:rsid w:val="00433B05"/>
    <w:rsid w:val="00434A4D"/>
    <w:rsid w:val="00435E65"/>
    <w:rsid w:val="00435FDE"/>
    <w:rsid w:val="004367E7"/>
    <w:rsid w:val="0044022C"/>
    <w:rsid w:val="00441F59"/>
    <w:rsid w:val="00442110"/>
    <w:rsid w:val="004423EB"/>
    <w:rsid w:val="00442B30"/>
    <w:rsid w:val="00444932"/>
    <w:rsid w:val="00445189"/>
    <w:rsid w:val="00445637"/>
    <w:rsid w:val="00446A4A"/>
    <w:rsid w:val="00447696"/>
    <w:rsid w:val="00447E63"/>
    <w:rsid w:val="00451353"/>
    <w:rsid w:val="00452257"/>
    <w:rsid w:val="00454B3F"/>
    <w:rsid w:val="00454C1C"/>
    <w:rsid w:val="00455AC9"/>
    <w:rsid w:val="00456DBE"/>
    <w:rsid w:val="00457EC8"/>
    <w:rsid w:val="0046105B"/>
    <w:rsid w:val="004625E7"/>
    <w:rsid w:val="00462819"/>
    <w:rsid w:val="00463788"/>
    <w:rsid w:val="00464DBF"/>
    <w:rsid w:val="0046588A"/>
    <w:rsid w:val="00465FF5"/>
    <w:rsid w:val="0046788C"/>
    <w:rsid w:val="00470214"/>
    <w:rsid w:val="00470D97"/>
    <w:rsid w:val="00471287"/>
    <w:rsid w:val="0047283A"/>
    <w:rsid w:val="00473557"/>
    <w:rsid w:val="00473AB7"/>
    <w:rsid w:val="004744F1"/>
    <w:rsid w:val="0047482C"/>
    <w:rsid w:val="004753CE"/>
    <w:rsid w:val="004758C0"/>
    <w:rsid w:val="00475A67"/>
    <w:rsid w:val="00475AEC"/>
    <w:rsid w:val="004760EE"/>
    <w:rsid w:val="00476424"/>
    <w:rsid w:val="0047799A"/>
    <w:rsid w:val="004814C5"/>
    <w:rsid w:val="00481B38"/>
    <w:rsid w:val="00482334"/>
    <w:rsid w:val="00483075"/>
    <w:rsid w:val="0048355F"/>
    <w:rsid w:val="0048621C"/>
    <w:rsid w:val="00486C39"/>
    <w:rsid w:val="00487251"/>
    <w:rsid w:val="0048755C"/>
    <w:rsid w:val="00487C24"/>
    <w:rsid w:val="00487EAB"/>
    <w:rsid w:val="004901D7"/>
    <w:rsid w:val="00490734"/>
    <w:rsid w:val="00490C0C"/>
    <w:rsid w:val="00491446"/>
    <w:rsid w:val="004914D0"/>
    <w:rsid w:val="00491722"/>
    <w:rsid w:val="00491BE7"/>
    <w:rsid w:val="00492C50"/>
    <w:rsid w:val="0049504D"/>
    <w:rsid w:val="00497B50"/>
    <w:rsid w:val="00497BE7"/>
    <w:rsid w:val="004A0995"/>
    <w:rsid w:val="004A0D95"/>
    <w:rsid w:val="004A169F"/>
    <w:rsid w:val="004A4445"/>
    <w:rsid w:val="004A470C"/>
    <w:rsid w:val="004A5662"/>
    <w:rsid w:val="004A657C"/>
    <w:rsid w:val="004A77E5"/>
    <w:rsid w:val="004B22DC"/>
    <w:rsid w:val="004B234C"/>
    <w:rsid w:val="004B25ED"/>
    <w:rsid w:val="004B297F"/>
    <w:rsid w:val="004B49BF"/>
    <w:rsid w:val="004B5051"/>
    <w:rsid w:val="004B5695"/>
    <w:rsid w:val="004B670D"/>
    <w:rsid w:val="004B7476"/>
    <w:rsid w:val="004C1769"/>
    <w:rsid w:val="004C26B9"/>
    <w:rsid w:val="004C2B7C"/>
    <w:rsid w:val="004C383F"/>
    <w:rsid w:val="004C4C28"/>
    <w:rsid w:val="004C5149"/>
    <w:rsid w:val="004C7669"/>
    <w:rsid w:val="004C777D"/>
    <w:rsid w:val="004C79BD"/>
    <w:rsid w:val="004D2145"/>
    <w:rsid w:val="004D271B"/>
    <w:rsid w:val="004D35CC"/>
    <w:rsid w:val="004D3EDB"/>
    <w:rsid w:val="004D530C"/>
    <w:rsid w:val="004D73A3"/>
    <w:rsid w:val="004D7B5A"/>
    <w:rsid w:val="004E07D7"/>
    <w:rsid w:val="004E0E4D"/>
    <w:rsid w:val="004E1761"/>
    <w:rsid w:val="004E334B"/>
    <w:rsid w:val="004E4AA0"/>
    <w:rsid w:val="004E547A"/>
    <w:rsid w:val="004E5753"/>
    <w:rsid w:val="004E59F2"/>
    <w:rsid w:val="004F2553"/>
    <w:rsid w:val="004F3A2B"/>
    <w:rsid w:val="004F5372"/>
    <w:rsid w:val="004F56E6"/>
    <w:rsid w:val="004F7911"/>
    <w:rsid w:val="004F7C58"/>
    <w:rsid w:val="00501499"/>
    <w:rsid w:val="00501A3A"/>
    <w:rsid w:val="005030AB"/>
    <w:rsid w:val="00504CDF"/>
    <w:rsid w:val="00504FE8"/>
    <w:rsid w:val="005061C6"/>
    <w:rsid w:val="0050731E"/>
    <w:rsid w:val="00507518"/>
    <w:rsid w:val="00507BDD"/>
    <w:rsid w:val="00507C35"/>
    <w:rsid w:val="00511B4E"/>
    <w:rsid w:val="00515775"/>
    <w:rsid w:val="005161F3"/>
    <w:rsid w:val="0051715D"/>
    <w:rsid w:val="00522394"/>
    <w:rsid w:val="00523888"/>
    <w:rsid w:val="005248ED"/>
    <w:rsid w:val="00524EA4"/>
    <w:rsid w:val="005250FE"/>
    <w:rsid w:val="005259B8"/>
    <w:rsid w:val="005259BC"/>
    <w:rsid w:val="00526BDE"/>
    <w:rsid w:val="00527B87"/>
    <w:rsid w:val="00530EF1"/>
    <w:rsid w:val="005328D3"/>
    <w:rsid w:val="0053348B"/>
    <w:rsid w:val="00533A21"/>
    <w:rsid w:val="0053593B"/>
    <w:rsid w:val="00535AB5"/>
    <w:rsid w:val="005368C5"/>
    <w:rsid w:val="00536988"/>
    <w:rsid w:val="005401AD"/>
    <w:rsid w:val="00540577"/>
    <w:rsid w:val="00541A29"/>
    <w:rsid w:val="005434D6"/>
    <w:rsid w:val="00543914"/>
    <w:rsid w:val="00543A67"/>
    <w:rsid w:val="00545949"/>
    <w:rsid w:val="00545951"/>
    <w:rsid w:val="00546A6E"/>
    <w:rsid w:val="00546B7A"/>
    <w:rsid w:val="00547A25"/>
    <w:rsid w:val="00547E80"/>
    <w:rsid w:val="005502B5"/>
    <w:rsid w:val="00552E22"/>
    <w:rsid w:val="005534A0"/>
    <w:rsid w:val="005538A7"/>
    <w:rsid w:val="005545AB"/>
    <w:rsid w:val="00554A9F"/>
    <w:rsid w:val="00555C26"/>
    <w:rsid w:val="00556643"/>
    <w:rsid w:val="00557872"/>
    <w:rsid w:val="00557AEC"/>
    <w:rsid w:val="00562B12"/>
    <w:rsid w:val="00564308"/>
    <w:rsid w:val="00564584"/>
    <w:rsid w:val="00565A20"/>
    <w:rsid w:val="00565A5F"/>
    <w:rsid w:val="00565B77"/>
    <w:rsid w:val="00567D9F"/>
    <w:rsid w:val="00570E28"/>
    <w:rsid w:val="00572D32"/>
    <w:rsid w:val="00573273"/>
    <w:rsid w:val="00573AE3"/>
    <w:rsid w:val="005748C8"/>
    <w:rsid w:val="005752ED"/>
    <w:rsid w:val="00576DB9"/>
    <w:rsid w:val="00577E26"/>
    <w:rsid w:val="00580D2E"/>
    <w:rsid w:val="00581360"/>
    <w:rsid w:val="00581A39"/>
    <w:rsid w:val="005836D3"/>
    <w:rsid w:val="00583DBC"/>
    <w:rsid w:val="005843AC"/>
    <w:rsid w:val="0058467C"/>
    <w:rsid w:val="00585952"/>
    <w:rsid w:val="00586C32"/>
    <w:rsid w:val="00587CB1"/>
    <w:rsid w:val="00590DF9"/>
    <w:rsid w:val="005915B7"/>
    <w:rsid w:val="00595212"/>
    <w:rsid w:val="005A0F9F"/>
    <w:rsid w:val="005A10CB"/>
    <w:rsid w:val="005A174F"/>
    <w:rsid w:val="005A1FB8"/>
    <w:rsid w:val="005A3DDD"/>
    <w:rsid w:val="005A45A0"/>
    <w:rsid w:val="005A46F1"/>
    <w:rsid w:val="005A4957"/>
    <w:rsid w:val="005A5277"/>
    <w:rsid w:val="005A5C6F"/>
    <w:rsid w:val="005A615C"/>
    <w:rsid w:val="005A6AE2"/>
    <w:rsid w:val="005A76BA"/>
    <w:rsid w:val="005B0022"/>
    <w:rsid w:val="005B0C60"/>
    <w:rsid w:val="005B142D"/>
    <w:rsid w:val="005B22C6"/>
    <w:rsid w:val="005B26E4"/>
    <w:rsid w:val="005B42D5"/>
    <w:rsid w:val="005B4810"/>
    <w:rsid w:val="005B5948"/>
    <w:rsid w:val="005B5B45"/>
    <w:rsid w:val="005B654E"/>
    <w:rsid w:val="005C08B0"/>
    <w:rsid w:val="005C1452"/>
    <w:rsid w:val="005C15E1"/>
    <w:rsid w:val="005C2652"/>
    <w:rsid w:val="005C3102"/>
    <w:rsid w:val="005C461F"/>
    <w:rsid w:val="005C46C7"/>
    <w:rsid w:val="005C4F98"/>
    <w:rsid w:val="005C53AC"/>
    <w:rsid w:val="005C7493"/>
    <w:rsid w:val="005C767E"/>
    <w:rsid w:val="005C7EB4"/>
    <w:rsid w:val="005D0679"/>
    <w:rsid w:val="005D0A0F"/>
    <w:rsid w:val="005D0B8C"/>
    <w:rsid w:val="005D1F4A"/>
    <w:rsid w:val="005D2934"/>
    <w:rsid w:val="005D395A"/>
    <w:rsid w:val="005D3CB8"/>
    <w:rsid w:val="005D70C8"/>
    <w:rsid w:val="005D7971"/>
    <w:rsid w:val="005E08FD"/>
    <w:rsid w:val="005E0A82"/>
    <w:rsid w:val="005E0DE4"/>
    <w:rsid w:val="005E1C99"/>
    <w:rsid w:val="005E1DC8"/>
    <w:rsid w:val="005E2036"/>
    <w:rsid w:val="005E4024"/>
    <w:rsid w:val="005E4CAB"/>
    <w:rsid w:val="005E66CE"/>
    <w:rsid w:val="005E7020"/>
    <w:rsid w:val="005E7212"/>
    <w:rsid w:val="005E7B02"/>
    <w:rsid w:val="005E7EC3"/>
    <w:rsid w:val="005F09A6"/>
    <w:rsid w:val="005F0A84"/>
    <w:rsid w:val="005F15C2"/>
    <w:rsid w:val="005F498E"/>
    <w:rsid w:val="005F5777"/>
    <w:rsid w:val="005F5D59"/>
    <w:rsid w:val="005F655A"/>
    <w:rsid w:val="005F676A"/>
    <w:rsid w:val="00600B34"/>
    <w:rsid w:val="006017DF"/>
    <w:rsid w:val="00602A32"/>
    <w:rsid w:val="00602FA3"/>
    <w:rsid w:val="00603651"/>
    <w:rsid w:val="00604956"/>
    <w:rsid w:val="006077D5"/>
    <w:rsid w:val="00607AB4"/>
    <w:rsid w:val="006101BD"/>
    <w:rsid w:val="00610649"/>
    <w:rsid w:val="0061106B"/>
    <w:rsid w:val="006110BA"/>
    <w:rsid w:val="0061190B"/>
    <w:rsid w:val="00612104"/>
    <w:rsid w:val="006126B5"/>
    <w:rsid w:val="00612CFF"/>
    <w:rsid w:val="00612E5E"/>
    <w:rsid w:val="006139CB"/>
    <w:rsid w:val="00613BCD"/>
    <w:rsid w:val="006149A2"/>
    <w:rsid w:val="00616003"/>
    <w:rsid w:val="0061669C"/>
    <w:rsid w:val="00616ADB"/>
    <w:rsid w:val="00617DAC"/>
    <w:rsid w:val="00620524"/>
    <w:rsid w:val="006208A4"/>
    <w:rsid w:val="00620C54"/>
    <w:rsid w:val="00620C76"/>
    <w:rsid w:val="00624553"/>
    <w:rsid w:val="006245EA"/>
    <w:rsid w:val="00626183"/>
    <w:rsid w:val="0062659C"/>
    <w:rsid w:val="00626A76"/>
    <w:rsid w:val="0063295A"/>
    <w:rsid w:val="00633F66"/>
    <w:rsid w:val="0063543F"/>
    <w:rsid w:val="006368BD"/>
    <w:rsid w:val="0064028C"/>
    <w:rsid w:val="006402D2"/>
    <w:rsid w:val="00641256"/>
    <w:rsid w:val="006423FD"/>
    <w:rsid w:val="00644548"/>
    <w:rsid w:val="00644D80"/>
    <w:rsid w:val="0064577B"/>
    <w:rsid w:val="00645792"/>
    <w:rsid w:val="00645EE8"/>
    <w:rsid w:val="0064694F"/>
    <w:rsid w:val="00646D9E"/>
    <w:rsid w:val="00651146"/>
    <w:rsid w:val="0065143C"/>
    <w:rsid w:val="00651BB0"/>
    <w:rsid w:val="00652630"/>
    <w:rsid w:val="00652A52"/>
    <w:rsid w:val="0065484F"/>
    <w:rsid w:val="006556A9"/>
    <w:rsid w:val="00656555"/>
    <w:rsid w:val="00656955"/>
    <w:rsid w:val="00656D42"/>
    <w:rsid w:val="0065789C"/>
    <w:rsid w:val="006600BA"/>
    <w:rsid w:val="00660C8E"/>
    <w:rsid w:val="0066106F"/>
    <w:rsid w:val="00661CCF"/>
    <w:rsid w:val="0066293F"/>
    <w:rsid w:val="00665C45"/>
    <w:rsid w:val="0067078A"/>
    <w:rsid w:val="00672559"/>
    <w:rsid w:val="0067261A"/>
    <w:rsid w:val="00673519"/>
    <w:rsid w:val="00673E90"/>
    <w:rsid w:val="0067564A"/>
    <w:rsid w:val="00676C55"/>
    <w:rsid w:val="006804CE"/>
    <w:rsid w:val="00680596"/>
    <w:rsid w:val="00681A31"/>
    <w:rsid w:val="00682474"/>
    <w:rsid w:val="0068304C"/>
    <w:rsid w:val="00684466"/>
    <w:rsid w:val="00684AAE"/>
    <w:rsid w:val="00684DC1"/>
    <w:rsid w:val="0068678C"/>
    <w:rsid w:val="006902B9"/>
    <w:rsid w:val="00690FE7"/>
    <w:rsid w:val="006918F3"/>
    <w:rsid w:val="00691A07"/>
    <w:rsid w:val="00691D79"/>
    <w:rsid w:val="00697379"/>
    <w:rsid w:val="006A03ED"/>
    <w:rsid w:val="006A2F55"/>
    <w:rsid w:val="006A3654"/>
    <w:rsid w:val="006A3825"/>
    <w:rsid w:val="006A3BF3"/>
    <w:rsid w:val="006A3D41"/>
    <w:rsid w:val="006A4250"/>
    <w:rsid w:val="006A5107"/>
    <w:rsid w:val="006A5948"/>
    <w:rsid w:val="006A7F23"/>
    <w:rsid w:val="006B139F"/>
    <w:rsid w:val="006B42BC"/>
    <w:rsid w:val="006B4831"/>
    <w:rsid w:val="006B4FFB"/>
    <w:rsid w:val="006B6402"/>
    <w:rsid w:val="006B6F5A"/>
    <w:rsid w:val="006B76BF"/>
    <w:rsid w:val="006C1367"/>
    <w:rsid w:val="006C1A0D"/>
    <w:rsid w:val="006C2354"/>
    <w:rsid w:val="006C2410"/>
    <w:rsid w:val="006C3908"/>
    <w:rsid w:val="006C3980"/>
    <w:rsid w:val="006C6029"/>
    <w:rsid w:val="006C6466"/>
    <w:rsid w:val="006C6A30"/>
    <w:rsid w:val="006C7A3A"/>
    <w:rsid w:val="006D1F05"/>
    <w:rsid w:val="006D40EA"/>
    <w:rsid w:val="006D637E"/>
    <w:rsid w:val="006D6799"/>
    <w:rsid w:val="006D67B7"/>
    <w:rsid w:val="006D693A"/>
    <w:rsid w:val="006D723F"/>
    <w:rsid w:val="006E195E"/>
    <w:rsid w:val="006E20F3"/>
    <w:rsid w:val="006E2FE9"/>
    <w:rsid w:val="006E39FE"/>
    <w:rsid w:val="006E4C91"/>
    <w:rsid w:val="006E6CC4"/>
    <w:rsid w:val="006E6F15"/>
    <w:rsid w:val="006E7BD8"/>
    <w:rsid w:val="006F262B"/>
    <w:rsid w:val="006F33E2"/>
    <w:rsid w:val="006F3519"/>
    <w:rsid w:val="006F3E52"/>
    <w:rsid w:val="006F455D"/>
    <w:rsid w:val="00700730"/>
    <w:rsid w:val="00700BEF"/>
    <w:rsid w:val="007012E3"/>
    <w:rsid w:val="00701522"/>
    <w:rsid w:val="00702B6E"/>
    <w:rsid w:val="00704692"/>
    <w:rsid w:val="00704857"/>
    <w:rsid w:val="00706F61"/>
    <w:rsid w:val="0070719A"/>
    <w:rsid w:val="007075F2"/>
    <w:rsid w:val="00710033"/>
    <w:rsid w:val="00711DC9"/>
    <w:rsid w:val="00712E37"/>
    <w:rsid w:val="007141A9"/>
    <w:rsid w:val="0071471F"/>
    <w:rsid w:val="00714FA3"/>
    <w:rsid w:val="00717F34"/>
    <w:rsid w:val="00721EB9"/>
    <w:rsid w:val="007229E7"/>
    <w:rsid w:val="00723768"/>
    <w:rsid w:val="00725C8C"/>
    <w:rsid w:val="00725CDB"/>
    <w:rsid w:val="00730A82"/>
    <w:rsid w:val="00731D17"/>
    <w:rsid w:val="007328FA"/>
    <w:rsid w:val="007336D1"/>
    <w:rsid w:val="00734AE9"/>
    <w:rsid w:val="00734CD4"/>
    <w:rsid w:val="0073590D"/>
    <w:rsid w:val="007359B2"/>
    <w:rsid w:val="007365C9"/>
    <w:rsid w:val="007366D9"/>
    <w:rsid w:val="0074006D"/>
    <w:rsid w:val="00740204"/>
    <w:rsid w:val="0074060B"/>
    <w:rsid w:val="00740B9D"/>
    <w:rsid w:val="00740E1F"/>
    <w:rsid w:val="00741CFD"/>
    <w:rsid w:val="00742062"/>
    <w:rsid w:val="00742491"/>
    <w:rsid w:val="007446AD"/>
    <w:rsid w:val="00745302"/>
    <w:rsid w:val="00745AC2"/>
    <w:rsid w:val="00746068"/>
    <w:rsid w:val="007500A8"/>
    <w:rsid w:val="0075050A"/>
    <w:rsid w:val="007509C0"/>
    <w:rsid w:val="0075175B"/>
    <w:rsid w:val="00751EFD"/>
    <w:rsid w:val="007524F7"/>
    <w:rsid w:val="007527B5"/>
    <w:rsid w:val="00753288"/>
    <w:rsid w:val="007538E6"/>
    <w:rsid w:val="007541EB"/>
    <w:rsid w:val="00754565"/>
    <w:rsid w:val="00755528"/>
    <w:rsid w:val="00757CF2"/>
    <w:rsid w:val="00760CD5"/>
    <w:rsid w:val="007612BD"/>
    <w:rsid w:val="00761AB0"/>
    <w:rsid w:val="00761BFC"/>
    <w:rsid w:val="00762679"/>
    <w:rsid w:val="00762CFF"/>
    <w:rsid w:val="0076423F"/>
    <w:rsid w:val="0076534D"/>
    <w:rsid w:val="0076632E"/>
    <w:rsid w:val="007703DA"/>
    <w:rsid w:val="007721EB"/>
    <w:rsid w:val="0077412F"/>
    <w:rsid w:val="007755A7"/>
    <w:rsid w:val="00775A10"/>
    <w:rsid w:val="007764A5"/>
    <w:rsid w:val="00777B1F"/>
    <w:rsid w:val="0078042F"/>
    <w:rsid w:val="007804DE"/>
    <w:rsid w:val="00780BF5"/>
    <w:rsid w:val="007811FA"/>
    <w:rsid w:val="0078121D"/>
    <w:rsid w:val="00784A65"/>
    <w:rsid w:val="00785E93"/>
    <w:rsid w:val="007860A5"/>
    <w:rsid w:val="00786943"/>
    <w:rsid w:val="00786A6A"/>
    <w:rsid w:val="00787BF9"/>
    <w:rsid w:val="0079173E"/>
    <w:rsid w:val="00791C86"/>
    <w:rsid w:val="0079293D"/>
    <w:rsid w:val="007941B6"/>
    <w:rsid w:val="00794AFB"/>
    <w:rsid w:val="00794D31"/>
    <w:rsid w:val="007958BB"/>
    <w:rsid w:val="007960C9"/>
    <w:rsid w:val="007A07A5"/>
    <w:rsid w:val="007A1115"/>
    <w:rsid w:val="007A127B"/>
    <w:rsid w:val="007A1CEA"/>
    <w:rsid w:val="007A1EEE"/>
    <w:rsid w:val="007A30A9"/>
    <w:rsid w:val="007A32D3"/>
    <w:rsid w:val="007A41E9"/>
    <w:rsid w:val="007A468D"/>
    <w:rsid w:val="007A4D16"/>
    <w:rsid w:val="007A635E"/>
    <w:rsid w:val="007A6C89"/>
    <w:rsid w:val="007B036E"/>
    <w:rsid w:val="007B093E"/>
    <w:rsid w:val="007B1BE0"/>
    <w:rsid w:val="007B7639"/>
    <w:rsid w:val="007B7F27"/>
    <w:rsid w:val="007C16A6"/>
    <w:rsid w:val="007C1B82"/>
    <w:rsid w:val="007C1CDB"/>
    <w:rsid w:val="007C1F94"/>
    <w:rsid w:val="007C3396"/>
    <w:rsid w:val="007C34DA"/>
    <w:rsid w:val="007C4BBA"/>
    <w:rsid w:val="007C54D0"/>
    <w:rsid w:val="007C658D"/>
    <w:rsid w:val="007D0A22"/>
    <w:rsid w:val="007D1CF2"/>
    <w:rsid w:val="007D2EC1"/>
    <w:rsid w:val="007D4F7B"/>
    <w:rsid w:val="007D63C3"/>
    <w:rsid w:val="007D6406"/>
    <w:rsid w:val="007D7551"/>
    <w:rsid w:val="007E01B8"/>
    <w:rsid w:val="007E032C"/>
    <w:rsid w:val="007E2E3D"/>
    <w:rsid w:val="007E3A40"/>
    <w:rsid w:val="007E3FAC"/>
    <w:rsid w:val="007E4753"/>
    <w:rsid w:val="007E505C"/>
    <w:rsid w:val="007E5B31"/>
    <w:rsid w:val="007E5EE4"/>
    <w:rsid w:val="007E5FFC"/>
    <w:rsid w:val="007E74A1"/>
    <w:rsid w:val="007E74CE"/>
    <w:rsid w:val="007E773A"/>
    <w:rsid w:val="007F016D"/>
    <w:rsid w:val="007F16B6"/>
    <w:rsid w:val="007F2E2F"/>
    <w:rsid w:val="007F3B6A"/>
    <w:rsid w:val="007F3E3F"/>
    <w:rsid w:val="007F485F"/>
    <w:rsid w:val="007F4996"/>
    <w:rsid w:val="007F4C62"/>
    <w:rsid w:val="007F5ABF"/>
    <w:rsid w:val="007F5EE6"/>
    <w:rsid w:val="007F730D"/>
    <w:rsid w:val="007F7570"/>
    <w:rsid w:val="007F7C3B"/>
    <w:rsid w:val="0080044F"/>
    <w:rsid w:val="008007EF"/>
    <w:rsid w:val="00801CDE"/>
    <w:rsid w:val="008027D7"/>
    <w:rsid w:val="0080367A"/>
    <w:rsid w:val="008044DE"/>
    <w:rsid w:val="0080499A"/>
    <w:rsid w:val="00804DA6"/>
    <w:rsid w:val="00805861"/>
    <w:rsid w:val="0080682E"/>
    <w:rsid w:val="00806EAB"/>
    <w:rsid w:val="008102B1"/>
    <w:rsid w:val="00810A31"/>
    <w:rsid w:val="008119CF"/>
    <w:rsid w:val="00812AA1"/>
    <w:rsid w:val="00812B31"/>
    <w:rsid w:val="00813113"/>
    <w:rsid w:val="00813DE6"/>
    <w:rsid w:val="00815248"/>
    <w:rsid w:val="0081642D"/>
    <w:rsid w:val="00816BD7"/>
    <w:rsid w:val="00817264"/>
    <w:rsid w:val="008175C9"/>
    <w:rsid w:val="008179FC"/>
    <w:rsid w:val="00817B61"/>
    <w:rsid w:val="008202E1"/>
    <w:rsid w:val="008207F8"/>
    <w:rsid w:val="0082295D"/>
    <w:rsid w:val="00822FEA"/>
    <w:rsid w:val="0082335F"/>
    <w:rsid w:val="00823C9E"/>
    <w:rsid w:val="00823D15"/>
    <w:rsid w:val="00826540"/>
    <w:rsid w:val="0083282D"/>
    <w:rsid w:val="00832B27"/>
    <w:rsid w:val="00832D18"/>
    <w:rsid w:val="00832E77"/>
    <w:rsid w:val="00833A92"/>
    <w:rsid w:val="00834963"/>
    <w:rsid w:val="00834A3F"/>
    <w:rsid w:val="00835326"/>
    <w:rsid w:val="00837EFF"/>
    <w:rsid w:val="00840047"/>
    <w:rsid w:val="008406A8"/>
    <w:rsid w:val="00840DC5"/>
    <w:rsid w:val="00840F30"/>
    <w:rsid w:val="00841472"/>
    <w:rsid w:val="00841CA3"/>
    <w:rsid w:val="00842338"/>
    <w:rsid w:val="008423B2"/>
    <w:rsid w:val="00843873"/>
    <w:rsid w:val="0084389D"/>
    <w:rsid w:val="00847056"/>
    <w:rsid w:val="0085009F"/>
    <w:rsid w:val="008514A0"/>
    <w:rsid w:val="0085185F"/>
    <w:rsid w:val="00851EE9"/>
    <w:rsid w:val="00852D7A"/>
    <w:rsid w:val="00852DB9"/>
    <w:rsid w:val="00854065"/>
    <w:rsid w:val="00854400"/>
    <w:rsid w:val="00856A9E"/>
    <w:rsid w:val="008570F7"/>
    <w:rsid w:val="008575B1"/>
    <w:rsid w:val="00857A0C"/>
    <w:rsid w:val="008616E7"/>
    <w:rsid w:val="00861C20"/>
    <w:rsid w:val="00862535"/>
    <w:rsid w:val="00865546"/>
    <w:rsid w:val="008675A1"/>
    <w:rsid w:val="008679A1"/>
    <w:rsid w:val="00870068"/>
    <w:rsid w:val="008715D9"/>
    <w:rsid w:val="00871BBB"/>
    <w:rsid w:val="00871DDE"/>
    <w:rsid w:val="00875E89"/>
    <w:rsid w:val="0087630C"/>
    <w:rsid w:val="00876513"/>
    <w:rsid w:val="00876EF5"/>
    <w:rsid w:val="00877645"/>
    <w:rsid w:val="00877B85"/>
    <w:rsid w:val="00877F9F"/>
    <w:rsid w:val="00880B09"/>
    <w:rsid w:val="00882221"/>
    <w:rsid w:val="0088259A"/>
    <w:rsid w:val="008828C6"/>
    <w:rsid w:val="00883068"/>
    <w:rsid w:val="00883322"/>
    <w:rsid w:val="008836E2"/>
    <w:rsid w:val="00883FDC"/>
    <w:rsid w:val="00884D6C"/>
    <w:rsid w:val="008856C2"/>
    <w:rsid w:val="0088676C"/>
    <w:rsid w:val="00886B16"/>
    <w:rsid w:val="0088782C"/>
    <w:rsid w:val="00890471"/>
    <w:rsid w:val="008910B6"/>
    <w:rsid w:val="008922D1"/>
    <w:rsid w:val="008934BF"/>
    <w:rsid w:val="00893FE1"/>
    <w:rsid w:val="0089424D"/>
    <w:rsid w:val="00894A4C"/>
    <w:rsid w:val="008956FC"/>
    <w:rsid w:val="00896649"/>
    <w:rsid w:val="00896B3A"/>
    <w:rsid w:val="00897566"/>
    <w:rsid w:val="008978AA"/>
    <w:rsid w:val="008A1CDA"/>
    <w:rsid w:val="008A2433"/>
    <w:rsid w:val="008A2DE6"/>
    <w:rsid w:val="008A543E"/>
    <w:rsid w:val="008A6229"/>
    <w:rsid w:val="008A7B7A"/>
    <w:rsid w:val="008B1766"/>
    <w:rsid w:val="008B1828"/>
    <w:rsid w:val="008B1ACB"/>
    <w:rsid w:val="008B22C7"/>
    <w:rsid w:val="008B2AF5"/>
    <w:rsid w:val="008B3A6C"/>
    <w:rsid w:val="008B4315"/>
    <w:rsid w:val="008B4C0D"/>
    <w:rsid w:val="008B6D86"/>
    <w:rsid w:val="008B7730"/>
    <w:rsid w:val="008C0E9D"/>
    <w:rsid w:val="008C1046"/>
    <w:rsid w:val="008C1143"/>
    <w:rsid w:val="008C38F7"/>
    <w:rsid w:val="008C3ABE"/>
    <w:rsid w:val="008C598E"/>
    <w:rsid w:val="008C636F"/>
    <w:rsid w:val="008C6DD2"/>
    <w:rsid w:val="008C757B"/>
    <w:rsid w:val="008D0AA4"/>
    <w:rsid w:val="008D0B39"/>
    <w:rsid w:val="008D1B99"/>
    <w:rsid w:val="008D25CC"/>
    <w:rsid w:val="008D2AA4"/>
    <w:rsid w:val="008D4A6F"/>
    <w:rsid w:val="008E0416"/>
    <w:rsid w:val="008E04B0"/>
    <w:rsid w:val="008E0688"/>
    <w:rsid w:val="008E0B75"/>
    <w:rsid w:val="008E142D"/>
    <w:rsid w:val="008E2D83"/>
    <w:rsid w:val="008E4070"/>
    <w:rsid w:val="008E4265"/>
    <w:rsid w:val="008E72D0"/>
    <w:rsid w:val="008F1D80"/>
    <w:rsid w:val="008F30CA"/>
    <w:rsid w:val="008F3751"/>
    <w:rsid w:val="008F3B0B"/>
    <w:rsid w:val="008F44A2"/>
    <w:rsid w:val="008F4E7A"/>
    <w:rsid w:val="008F5E72"/>
    <w:rsid w:val="008F6DA0"/>
    <w:rsid w:val="008F7D60"/>
    <w:rsid w:val="009008B3"/>
    <w:rsid w:val="00900930"/>
    <w:rsid w:val="009021A0"/>
    <w:rsid w:val="00902E82"/>
    <w:rsid w:val="009037F9"/>
    <w:rsid w:val="00903C91"/>
    <w:rsid w:val="009046CC"/>
    <w:rsid w:val="00907D48"/>
    <w:rsid w:val="00913781"/>
    <w:rsid w:val="00913897"/>
    <w:rsid w:val="0091437C"/>
    <w:rsid w:val="0091475A"/>
    <w:rsid w:val="00914A3A"/>
    <w:rsid w:val="00914B13"/>
    <w:rsid w:val="00914C45"/>
    <w:rsid w:val="009157A6"/>
    <w:rsid w:val="00917DD3"/>
    <w:rsid w:val="009212A5"/>
    <w:rsid w:val="009229A9"/>
    <w:rsid w:val="009240E0"/>
    <w:rsid w:val="00924205"/>
    <w:rsid w:val="00924823"/>
    <w:rsid w:val="00925AC6"/>
    <w:rsid w:val="00925B0B"/>
    <w:rsid w:val="00926C47"/>
    <w:rsid w:val="009272D4"/>
    <w:rsid w:val="00930115"/>
    <w:rsid w:val="00930698"/>
    <w:rsid w:val="00930E58"/>
    <w:rsid w:val="00931EDE"/>
    <w:rsid w:val="00932C05"/>
    <w:rsid w:val="009332AF"/>
    <w:rsid w:val="00933FC9"/>
    <w:rsid w:val="00934184"/>
    <w:rsid w:val="00935A9D"/>
    <w:rsid w:val="00936BFF"/>
    <w:rsid w:val="00936DDE"/>
    <w:rsid w:val="009370B2"/>
    <w:rsid w:val="00940B97"/>
    <w:rsid w:val="00941544"/>
    <w:rsid w:val="00943D0E"/>
    <w:rsid w:val="00945DDC"/>
    <w:rsid w:val="00947C55"/>
    <w:rsid w:val="009501CB"/>
    <w:rsid w:val="009504B9"/>
    <w:rsid w:val="009509F6"/>
    <w:rsid w:val="00950C4A"/>
    <w:rsid w:val="00954209"/>
    <w:rsid w:val="00956640"/>
    <w:rsid w:val="009571ED"/>
    <w:rsid w:val="00962E29"/>
    <w:rsid w:val="00963DE3"/>
    <w:rsid w:val="00965248"/>
    <w:rsid w:val="0096562E"/>
    <w:rsid w:val="009663EC"/>
    <w:rsid w:val="00966B25"/>
    <w:rsid w:val="00966B3C"/>
    <w:rsid w:val="00967045"/>
    <w:rsid w:val="009676D8"/>
    <w:rsid w:val="00970B48"/>
    <w:rsid w:val="00972C0D"/>
    <w:rsid w:val="00972F79"/>
    <w:rsid w:val="00973066"/>
    <w:rsid w:val="00973BF9"/>
    <w:rsid w:val="00975FE3"/>
    <w:rsid w:val="00976CA5"/>
    <w:rsid w:val="00976F96"/>
    <w:rsid w:val="0098031B"/>
    <w:rsid w:val="0098071E"/>
    <w:rsid w:val="00981192"/>
    <w:rsid w:val="00981A88"/>
    <w:rsid w:val="00982116"/>
    <w:rsid w:val="00982773"/>
    <w:rsid w:val="009834DE"/>
    <w:rsid w:val="00987416"/>
    <w:rsid w:val="00987D31"/>
    <w:rsid w:val="009913D5"/>
    <w:rsid w:val="00991F43"/>
    <w:rsid w:val="009927D4"/>
    <w:rsid w:val="0099313E"/>
    <w:rsid w:val="009935C1"/>
    <w:rsid w:val="00994548"/>
    <w:rsid w:val="0099608B"/>
    <w:rsid w:val="009A08FC"/>
    <w:rsid w:val="009A0DD0"/>
    <w:rsid w:val="009A1D70"/>
    <w:rsid w:val="009A3B33"/>
    <w:rsid w:val="009A3EB9"/>
    <w:rsid w:val="009A43C3"/>
    <w:rsid w:val="009A459E"/>
    <w:rsid w:val="009A529C"/>
    <w:rsid w:val="009A54CA"/>
    <w:rsid w:val="009A5D1F"/>
    <w:rsid w:val="009A62D2"/>
    <w:rsid w:val="009A693A"/>
    <w:rsid w:val="009A6A5E"/>
    <w:rsid w:val="009A6E7A"/>
    <w:rsid w:val="009A70B8"/>
    <w:rsid w:val="009B0AF5"/>
    <w:rsid w:val="009B1568"/>
    <w:rsid w:val="009B2512"/>
    <w:rsid w:val="009B451D"/>
    <w:rsid w:val="009B46AB"/>
    <w:rsid w:val="009B5B80"/>
    <w:rsid w:val="009B650D"/>
    <w:rsid w:val="009C0573"/>
    <w:rsid w:val="009C0B5F"/>
    <w:rsid w:val="009C3593"/>
    <w:rsid w:val="009C4607"/>
    <w:rsid w:val="009C4938"/>
    <w:rsid w:val="009C4D81"/>
    <w:rsid w:val="009C6856"/>
    <w:rsid w:val="009C6B7B"/>
    <w:rsid w:val="009C6DD1"/>
    <w:rsid w:val="009C7F97"/>
    <w:rsid w:val="009D0040"/>
    <w:rsid w:val="009D0341"/>
    <w:rsid w:val="009D0C36"/>
    <w:rsid w:val="009D3A71"/>
    <w:rsid w:val="009D5353"/>
    <w:rsid w:val="009D5E4C"/>
    <w:rsid w:val="009D6E31"/>
    <w:rsid w:val="009D6E98"/>
    <w:rsid w:val="009D73BC"/>
    <w:rsid w:val="009E2D83"/>
    <w:rsid w:val="009E36D7"/>
    <w:rsid w:val="009E387A"/>
    <w:rsid w:val="009E4956"/>
    <w:rsid w:val="009E6E34"/>
    <w:rsid w:val="009F0582"/>
    <w:rsid w:val="009F0660"/>
    <w:rsid w:val="009F1534"/>
    <w:rsid w:val="009F16A5"/>
    <w:rsid w:val="009F170F"/>
    <w:rsid w:val="009F314B"/>
    <w:rsid w:val="009F31EA"/>
    <w:rsid w:val="009F334A"/>
    <w:rsid w:val="009F33B2"/>
    <w:rsid w:val="009F4988"/>
    <w:rsid w:val="009F69C7"/>
    <w:rsid w:val="009F771C"/>
    <w:rsid w:val="009F7C04"/>
    <w:rsid w:val="00A0018F"/>
    <w:rsid w:val="00A024D6"/>
    <w:rsid w:val="00A0537A"/>
    <w:rsid w:val="00A07858"/>
    <w:rsid w:val="00A12C6F"/>
    <w:rsid w:val="00A12C9F"/>
    <w:rsid w:val="00A14411"/>
    <w:rsid w:val="00A159F2"/>
    <w:rsid w:val="00A15D78"/>
    <w:rsid w:val="00A20A0C"/>
    <w:rsid w:val="00A20CEB"/>
    <w:rsid w:val="00A22F40"/>
    <w:rsid w:val="00A24093"/>
    <w:rsid w:val="00A25ACE"/>
    <w:rsid w:val="00A273AB"/>
    <w:rsid w:val="00A30123"/>
    <w:rsid w:val="00A3069E"/>
    <w:rsid w:val="00A31B33"/>
    <w:rsid w:val="00A32E9C"/>
    <w:rsid w:val="00A34B96"/>
    <w:rsid w:val="00A36C8E"/>
    <w:rsid w:val="00A404A6"/>
    <w:rsid w:val="00A40C9F"/>
    <w:rsid w:val="00A41762"/>
    <w:rsid w:val="00A42F83"/>
    <w:rsid w:val="00A4463F"/>
    <w:rsid w:val="00A446E8"/>
    <w:rsid w:val="00A44B01"/>
    <w:rsid w:val="00A45E58"/>
    <w:rsid w:val="00A45E61"/>
    <w:rsid w:val="00A46048"/>
    <w:rsid w:val="00A4652B"/>
    <w:rsid w:val="00A466BA"/>
    <w:rsid w:val="00A46E9B"/>
    <w:rsid w:val="00A477BA"/>
    <w:rsid w:val="00A5083B"/>
    <w:rsid w:val="00A50E68"/>
    <w:rsid w:val="00A513E5"/>
    <w:rsid w:val="00A55706"/>
    <w:rsid w:val="00A55CA6"/>
    <w:rsid w:val="00A5662E"/>
    <w:rsid w:val="00A56E7D"/>
    <w:rsid w:val="00A57C8F"/>
    <w:rsid w:val="00A60AEA"/>
    <w:rsid w:val="00A616A7"/>
    <w:rsid w:val="00A63889"/>
    <w:rsid w:val="00A63C2F"/>
    <w:rsid w:val="00A646B6"/>
    <w:rsid w:val="00A65784"/>
    <w:rsid w:val="00A65C6C"/>
    <w:rsid w:val="00A66019"/>
    <w:rsid w:val="00A664F1"/>
    <w:rsid w:val="00A708E9"/>
    <w:rsid w:val="00A70CF2"/>
    <w:rsid w:val="00A7101D"/>
    <w:rsid w:val="00A7280A"/>
    <w:rsid w:val="00A73588"/>
    <w:rsid w:val="00A74925"/>
    <w:rsid w:val="00A75F42"/>
    <w:rsid w:val="00A77379"/>
    <w:rsid w:val="00A77589"/>
    <w:rsid w:val="00A82AE8"/>
    <w:rsid w:val="00A830D7"/>
    <w:rsid w:val="00A84959"/>
    <w:rsid w:val="00A85BB7"/>
    <w:rsid w:val="00A85E2B"/>
    <w:rsid w:val="00A85E67"/>
    <w:rsid w:val="00A86FFC"/>
    <w:rsid w:val="00A871BA"/>
    <w:rsid w:val="00A910C3"/>
    <w:rsid w:val="00A9147D"/>
    <w:rsid w:val="00A91AD9"/>
    <w:rsid w:val="00A929E5"/>
    <w:rsid w:val="00A930C4"/>
    <w:rsid w:val="00A931F1"/>
    <w:rsid w:val="00A93C47"/>
    <w:rsid w:val="00A94331"/>
    <w:rsid w:val="00A959C5"/>
    <w:rsid w:val="00A96AB8"/>
    <w:rsid w:val="00A96BF0"/>
    <w:rsid w:val="00AA1636"/>
    <w:rsid w:val="00AA33A8"/>
    <w:rsid w:val="00AA3C79"/>
    <w:rsid w:val="00AA3D37"/>
    <w:rsid w:val="00AA3FA2"/>
    <w:rsid w:val="00AA4855"/>
    <w:rsid w:val="00AA4F2D"/>
    <w:rsid w:val="00AA67CC"/>
    <w:rsid w:val="00AA6AB2"/>
    <w:rsid w:val="00AA7021"/>
    <w:rsid w:val="00AA73D6"/>
    <w:rsid w:val="00AB0FF3"/>
    <w:rsid w:val="00AB124E"/>
    <w:rsid w:val="00AB1AC9"/>
    <w:rsid w:val="00AB1F00"/>
    <w:rsid w:val="00AB22F0"/>
    <w:rsid w:val="00AB30CB"/>
    <w:rsid w:val="00AB3B48"/>
    <w:rsid w:val="00AB5C48"/>
    <w:rsid w:val="00AB6A4C"/>
    <w:rsid w:val="00AB70D7"/>
    <w:rsid w:val="00AB7662"/>
    <w:rsid w:val="00AC00A2"/>
    <w:rsid w:val="00AC160D"/>
    <w:rsid w:val="00AC2AEE"/>
    <w:rsid w:val="00AC30BA"/>
    <w:rsid w:val="00AC345F"/>
    <w:rsid w:val="00AC4B70"/>
    <w:rsid w:val="00AC4BB9"/>
    <w:rsid w:val="00AC76FA"/>
    <w:rsid w:val="00AD3D86"/>
    <w:rsid w:val="00AD3E92"/>
    <w:rsid w:val="00AD4436"/>
    <w:rsid w:val="00AD48DD"/>
    <w:rsid w:val="00AD4A33"/>
    <w:rsid w:val="00AD5043"/>
    <w:rsid w:val="00AD7377"/>
    <w:rsid w:val="00AD772F"/>
    <w:rsid w:val="00AE1CDA"/>
    <w:rsid w:val="00AE231A"/>
    <w:rsid w:val="00AE2985"/>
    <w:rsid w:val="00AE2EB3"/>
    <w:rsid w:val="00AE3C1A"/>
    <w:rsid w:val="00AE608D"/>
    <w:rsid w:val="00AE6F8E"/>
    <w:rsid w:val="00AE7428"/>
    <w:rsid w:val="00AE7EB1"/>
    <w:rsid w:val="00AF11DA"/>
    <w:rsid w:val="00AF1BAF"/>
    <w:rsid w:val="00AF5259"/>
    <w:rsid w:val="00AF53FD"/>
    <w:rsid w:val="00AF5C08"/>
    <w:rsid w:val="00B04C02"/>
    <w:rsid w:val="00B0530C"/>
    <w:rsid w:val="00B063BB"/>
    <w:rsid w:val="00B06837"/>
    <w:rsid w:val="00B06BFD"/>
    <w:rsid w:val="00B06F63"/>
    <w:rsid w:val="00B07098"/>
    <w:rsid w:val="00B1060B"/>
    <w:rsid w:val="00B10632"/>
    <w:rsid w:val="00B10880"/>
    <w:rsid w:val="00B13943"/>
    <w:rsid w:val="00B164B4"/>
    <w:rsid w:val="00B16659"/>
    <w:rsid w:val="00B20984"/>
    <w:rsid w:val="00B21185"/>
    <w:rsid w:val="00B21FF7"/>
    <w:rsid w:val="00B22BAB"/>
    <w:rsid w:val="00B23575"/>
    <w:rsid w:val="00B237B0"/>
    <w:rsid w:val="00B24341"/>
    <w:rsid w:val="00B25C76"/>
    <w:rsid w:val="00B27E47"/>
    <w:rsid w:val="00B30096"/>
    <w:rsid w:val="00B30278"/>
    <w:rsid w:val="00B31139"/>
    <w:rsid w:val="00B31744"/>
    <w:rsid w:val="00B32B91"/>
    <w:rsid w:val="00B32F7E"/>
    <w:rsid w:val="00B35778"/>
    <w:rsid w:val="00B364CD"/>
    <w:rsid w:val="00B36E2D"/>
    <w:rsid w:val="00B37F5D"/>
    <w:rsid w:val="00B415AA"/>
    <w:rsid w:val="00B41AA2"/>
    <w:rsid w:val="00B4288A"/>
    <w:rsid w:val="00B44CBD"/>
    <w:rsid w:val="00B45049"/>
    <w:rsid w:val="00B457F2"/>
    <w:rsid w:val="00B46275"/>
    <w:rsid w:val="00B47610"/>
    <w:rsid w:val="00B47E62"/>
    <w:rsid w:val="00B50306"/>
    <w:rsid w:val="00B522CE"/>
    <w:rsid w:val="00B52F46"/>
    <w:rsid w:val="00B5355A"/>
    <w:rsid w:val="00B5455F"/>
    <w:rsid w:val="00B54BDC"/>
    <w:rsid w:val="00B55EA4"/>
    <w:rsid w:val="00B55F33"/>
    <w:rsid w:val="00B56A21"/>
    <w:rsid w:val="00B5731D"/>
    <w:rsid w:val="00B5795C"/>
    <w:rsid w:val="00B60DA8"/>
    <w:rsid w:val="00B611F7"/>
    <w:rsid w:val="00B62447"/>
    <w:rsid w:val="00B633C8"/>
    <w:rsid w:val="00B66380"/>
    <w:rsid w:val="00B664BB"/>
    <w:rsid w:val="00B66B88"/>
    <w:rsid w:val="00B66D99"/>
    <w:rsid w:val="00B677DD"/>
    <w:rsid w:val="00B71D60"/>
    <w:rsid w:val="00B738DB"/>
    <w:rsid w:val="00B74A57"/>
    <w:rsid w:val="00B74C55"/>
    <w:rsid w:val="00B74F4C"/>
    <w:rsid w:val="00B75EE6"/>
    <w:rsid w:val="00B7607B"/>
    <w:rsid w:val="00B7683E"/>
    <w:rsid w:val="00B76EA0"/>
    <w:rsid w:val="00B80564"/>
    <w:rsid w:val="00B80DC3"/>
    <w:rsid w:val="00B81688"/>
    <w:rsid w:val="00B8469F"/>
    <w:rsid w:val="00B8470D"/>
    <w:rsid w:val="00B848EE"/>
    <w:rsid w:val="00B84E82"/>
    <w:rsid w:val="00B8510D"/>
    <w:rsid w:val="00B85714"/>
    <w:rsid w:val="00B87D15"/>
    <w:rsid w:val="00B87E4A"/>
    <w:rsid w:val="00B9005D"/>
    <w:rsid w:val="00B92FBC"/>
    <w:rsid w:val="00B934AF"/>
    <w:rsid w:val="00B93F82"/>
    <w:rsid w:val="00B940B1"/>
    <w:rsid w:val="00B94F4E"/>
    <w:rsid w:val="00B96B4A"/>
    <w:rsid w:val="00B97499"/>
    <w:rsid w:val="00B97597"/>
    <w:rsid w:val="00BA0605"/>
    <w:rsid w:val="00BA09BE"/>
    <w:rsid w:val="00BA2E18"/>
    <w:rsid w:val="00BA32AA"/>
    <w:rsid w:val="00BA45E6"/>
    <w:rsid w:val="00BA512B"/>
    <w:rsid w:val="00BA5732"/>
    <w:rsid w:val="00BA77DE"/>
    <w:rsid w:val="00BA784B"/>
    <w:rsid w:val="00BA7AA6"/>
    <w:rsid w:val="00BB002D"/>
    <w:rsid w:val="00BB1969"/>
    <w:rsid w:val="00BB1BC6"/>
    <w:rsid w:val="00BB2280"/>
    <w:rsid w:val="00BB2CE9"/>
    <w:rsid w:val="00BB2ED2"/>
    <w:rsid w:val="00BB3095"/>
    <w:rsid w:val="00BB31B6"/>
    <w:rsid w:val="00BB34EC"/>
    <w:rsid w:val="00BB35E4"/>
    <w:rsid w:val="00BB4AF3"/>
    <w:rsid w:val="00BB5193"/>
    <w:rsid w:val="00BB5CD9"/>
    <w:rsid w:val="00BB65C0"/>
    <w:rsid w:val="00BB6A00"/>
    <w:rsid w:val="00BB7BEA"/>
    <w:rsid w:val="00BC1406"/>
    <w:rsid w:val="00BC1B28"/>
    <w:rsid w:val="00BC2532"/>
    <w:rsid w:val="00BC2A2A"/>
    <w:rsid w:val="00BC3989"/>
    <w:rsid w:val="00BC4652"/>
    <w:rsid w:val="00BC47C1"/>
    <w:rsid w:val="00BC4D34"/>
    <w:rsid w:val="00BC58A0"/>
    <w:rsid w:val="00BC613A"/>
    <w:rsid w:val="00BC6165"/>
    <w:rsid w:val="00BC7466"/>
    <w:rsid w:val="00BD0FA9"/>
    <w:rsid w:val="00BD143C"/>
    <w:rsid w:val="00BD25D9"/>
    <w:rsid w:val="00BD27A1"/>
    <w:rsid w:val="00BD3C23"/>
    <w:rsid w:val="00BD5874"/>
    <w:rsid w:val="00BD5ACE"/>
    <w:rsid w:val="00BD5FFD"/>
    <w:rsid w:val="00BD6289"/>
    <w:rsid w:val="00BD6411"/>
    <w:rsid w:val="00BD7663"/>
    <w:rsid w:val="00BD7A09"/>
    <w:rsid w:val="00BE02B8"/>
    <w:rsid w:val="00BE0924"/>
    <w:rsid w:val="00BE1A2E"/>
    <w:rsid w:val="00BE1BFB"/>
    <w:rsid w:val="00BE2394"/>
    <w:rsid w:val="00BE3E3B"/>
    <w:rsid w:val="00BE496D"/>
    <w:rsid w:val="00BE4CC1"/>
    <w:rsid w:val="00BE522B"/>
    <w:rsid w:val="00BE5C0A"/>
    <w:rsid w:val="00BE5C85"/>
    <w:rsid w:val="00BE6378"/>
    <w:rsid w:val="00BE6B53"/>
    <w:rsid w:val="00BE6E4A"/>
    <w:rsid w:val="00BF0019"/>
    <w:rsid w:val="00BF07F9"/>
    <w:rsid w:val="00BF106D"/>
    <w:rsid w:val="00BF14EA"/>
    <w:rsid w:val="00BF2607"/>
    <w:rsid w:val="00BF4477"/>
    <w:rsid w:val="00BF4494"/>
    <w:rsid w:val="00BF4755"/>
    <w:rsid w:val="00BF5FDE"/>
    <w:rsid w:val="00BF633C"/>
    <w:rsid w:val="00BF634D"/>
    <w:rsid w:val="00BF6712"/>
    <w:rsid w:val="00C032D2"/>
    <w:rsid w:val="00C03685"/>
    <w:rsid w:val="00C048C2"/>
    <w:rsid w:val="00C0536A"/>
    <w:rsid w:val="00C07A32"/>
    <w:rsid w:val="00C1078F"/>
    <w:rsid w:val="00C10C97"/>
    <w:rsid w:val="00C135BA"/>
    <w:rsid w:val="00C13A7E"/>
    <w:rsid w:val="00C14187"/>
    <w:rsid w:val="00C15CCC"/>
    <w:rsid w:val="00C17459"/>
    <w:rsid w:val="00C17A57"/>
    <w:rsid w:val="00C20BC2"/>
    <w:rsid w:val="00C2113A"/>
    <w:rsid w:val="00C211DD"/>
    <w:rsid w:val="00C21F5F"/>
    <w:rsid w:val="00C23926"/>
    <w:rsid w:val="00C23D76"/>
    <w:rsid w:val="00C23E53"/>
    <w:rsid w:val="00C24421"/>
    <w:rsid w:val="00C25326"/>
    <w:rsid w:val="00C2589A"/>
    <w:rsid w:val="00C3055C"/>
    <w:rsid w:val="00C3091A"/>
    <w:rsid w:val="00C30E4B"/>
    <w:rsid w:val="00C347B0"/>
    <w:rsid w:val="00C360EF"/>
    <w:rsid w:val="00C36552"/>
    <w:rsid w:val="00C366AB"/>
    <w:rsid w:val="00C374A9"/>
    <w:rsid w:val="00C403C6"/>
    <w:rsid w:val="00C40C3C"/>
    <w:rsid w:val="00C4157A"/>
    <w:rsid w:val="00C425FE"/>
    <w:rsid w:val="00C43D47"/>
    <w:rsid w:val="00C441A2"/>
    <w:rsid w:val="00C45524"/>
    <w:rsid w:val="00C467B3"/>
    <w:rsid w:val="00C505AC"/>
    <w:rsid w:val="00C51513"/>
    <w:rsid w:val="00C525ED"/>
    <w:rsid w:val="00C5392D"/>
    <w:rsid w:val="00C5454D"/>
    <w:rsid w:val="00C549E0"/>
    <w:rsid w:val="00C560C5"/>
    <w:rsid w:val="00C5641D"/>
    <w:rsid w:val="00C57F96"/>
    <w:rsid w:val="00C60583"/>
    <w:rsid w:val="00C60C33"/>
    <w:rsid w:val="00C62497"/>
    <w:rsid w:val="00C62B8D"/>
    <w:rsid w:val="00C62CC4"/>
    <w:rsid w:val="00C64681"/>
    <w:rsid w:val="00C64C32"/>
    <w:rsid w:val="00C661AD"/>
    <w:rsid w:val="00C66492"/>
    <w:rsid w:val="00C70218"/>
    <w:rsid w:val="00C7044F"/>
    <w:rsid w:val="00C72504"/>
    <w:rsid w:val="00C72A34"/>
    <w:rsid w:val="00C72A75"/>
    <w:rsid w:val="00C73849"/>
    <w:rsid w:val="00C757CA"/>
    <w:rsid w:val="00C76032"/>
    <w:rsid w:val="00C76123"/>
    <w:rsid w:val="00C77DB5"/>
    <w:rsid w:val="00C80132"/>
    <w:rsid w:val="00C837A2"/>
    <w:rsid w:val="00C84B4E"/>
    <w:rsid w:val="00C84E1E"/>
    <w:rsid w:val="00C87525"/>
    <w:rsid w:val="00C92243"/>
    <w:rsid w:val="00C92B44"/>
    <w:rsid w:val="00C94B88"/>
    <w:rsid w:val="00C94EE6"/>
    <w:rsid w:val="00C95577"/>
    <w:rsid w:val="00C95A80"/>
    <w:rsid w:val="00C95F08"/>
    <w:rsid w:val="00C96FC4"/>
    <w:rsid w:val="00C975A2"/>
    <w:rsid w:val="00C97BC1"/>
    <w:rsid w:val="00CA0367"/>
    <w:rsid w:val="00CA2B97"/>
    <w:rsid w:val="00CA2C67"/>
    <w:rsid w:val="00CA40B0"/>
    <w:rsid w:val="00CA4475"/>
    <w:rsid w:val="00CA4DD7"/>
    <w:rsid w:val="00CA5796"/>
    <w:rsid w:val="00CA6181"/>
    <w:rsid w:val="00CA62DB"/>
    <w:rsid w:val="00CA750A"/>
    <w:rsid w:val="00CA75B1"/>
    <w:rsid w:val="00CA75B5"/>
    <w:rsid w:val="00CA7B45"/>
    <w:rsid w:val="00CB0066"/>
    <w:rsid w:val="00CB0460"/>
    <w:rsid w:val="00CB2028"/>
    <w:rsid w:val="00CB2428"/>
    <w:rsid w:val="00CB255F"/>
    <w:rsid w:val="00CB3F89"/>
    <w:rsid w:val="00CB413F"/>
    <w:rsid w:val="00CB4ECD"/>
    <w:rsid w:val="00CB683D"/>
    <w:rsid w:val="00CB6A19"/>
    <w:rsid w:val="00CC2883"/>
    <w:rsid w:val="00CC323C"/>
    <w:rsid w:val="00CC5E68"/>
    <w:rsid w:val="00CC6138"/>
    <w:rsid w:val="00CC7224"/>
    <w:rsid w:val="00CD00EC"/>
    <w:rsid w:val="00CD11F5"/>
    <w:rsid w:val="00CD13DB"/>
    <w:rsid w:val="00CD15EB"/>
    <w:rsid w:val="00CD2BE1"/>
    <w:rsid w:val="00CD30EC"/>
    <w:rsid w:val="00CD3274"/>
    <w:rsid w:val="00CD4D29"/>
    <w:rsid w:val="00CD650C"/>
    <w:rsid w:val="00CD673E"/>
    <w:rsid w:val="00CD6F7A"/>
    <w:rsid w:val="00CD7C87"/>
    <w:rsid w:val="00CD7DA8"/>
    <w:rsid w:val="00CE0281"/>
    <w:rsid w:val="00CE2972"/>
    <w:rsid w:val="00CE3B1B"/>
    <w:rsid w:val="00CE40CA"/>
    <w:rsid w:val="00CE4AA9"/>
    <w:rsid w:val="00CE4F8C"/>
    <w:rsid w:val="00CE5D7F"/>
    <w:rsid w:val="00CE6446"/>
    <w:rsid w:val="00CE6460"/>
    <w:rsid w:val="00CE6FAF"/>
    <w:rsid w:val="00CE7CAB"/>
    <w:rsid w:val="00CF0FF2"/>
    <w:rsid w:val="00CF188A"/>
    <w:rsid w:val="00CF18DA"/>
    <w:rsid w:val="00CF3675"/>
    <w:rsid w:val="00CF3882"/>
    <w:rsid w:val="00CF45B1"/>
    <w:rsid w:val="00CF535E"/>
    <w:rsid w:val="00CF5EB8"/>
    <w:rsid w:val="00CF5EFE"/>
    <w:rsid w:val="00CF6571"/>
    <w:rsid w:val="00CF6856"/>
    <w:rsid w:val="00CF7C73"/>
    <w:rsid w:val="00D00511"/>
    <w:rsid w:val="00D00CC3"/>
    <w:rsid w:val="00D02656"/>
    <w:rsid w:val="00D02F1A"/>
    <w:rsid w:val="00D044C2"/>
    <w:rsid w:val="00D045E2"/>
    <w:rsid w:val="00D051F6"/>
    <w:rsid w:val="00D0751B"/>
    <w:rsid w:val="00D07A7F"/>
    <w:rsid w:val="00D07CA9"/>
    <w:rsid w:val="00D101B8"/>
    <w:rsid w:val="00D1134F"/>
    <w:rsid w:val="00D1230C"/>
    <w:rsid w:val="00D1346D"/>
    <w:rsid w:val="00D13AC9"/>
    <w:rsid w:val="00D14205"/>
    <w:rsid w:val="00D145BF"/>
    <w:rsid w:val="00D14D42"/>
    <w:rsid w:val="00D163A7"/>
    <w:rsid w:val="00D177E9"/>
    <w:rsid w:val="00D2028B"/>
    <w:rsid w:val="00D21C0F"/>
    <w:rsid w:val="00D23864"/>
    <w:rsid w:val="00D24D28"/>
    <w:rsid w:val="00D25B25"/>
    <w:rsid w:val="00D268B6"/>
    <w:rsid w:val="00D27D32"/>
    <w:rsid w:val="00D30746"/>
    <w:rsid w:val="00D30B01"/>
    <w:rsid w:val="00D3143B"/>
    <w:rsid w:val="00D34E8F"/>
    <w:rsid w:val="00D374ED"/>
    <w:rsid w:val="00D37FE5"/>
    <w:rsid w:val="00D4081A"/>
    <w:rsid w:val="00D40E26"/>
    <w:rsid w:val="00D40F3E"/>
    <w:rsid w:val="00D419E4"/>
    <w:rsid w:val="00D4237F"/>
    <w:rsid w:val="00D428CF"/>
    <w:rsid w:val="00D43664"/>
    <w:rsid w:val="00D43C7F"/>
    <w:rsid w:val="00D43CB9"/>
    <w:rsid w:val="00D44A52"/>
    <w:rsid w:val="00D44C75"/>
    <w:rsid w:val="00D45034"/>
    <w:rsid w:val="00D46F83"/>
    <w:rsid w:val="00D476C2"/>
    <w:rsid w:val="00D50B2F"/>
    <w:rsid w:val="00D50B44"/>
    <w:rsid w:val="00D50F64"/>
    <w:rsid w:val="00D51DFF"/>
    <w:rsid w:val="00D547CD"/>
    <w:rsid w:val="00D554FE"/>
    <w:rsid w:val="00D55F16"/>
    <w:rsid w:val="00D57DF1"/>
    <w:rsid w:val="00D62098"/>
    <w:rsid w:val="00D636AF"/>
    <w:rsid w:val="00D650CD"/>
    <w:rsid w:val="00D66F27"/>
    <w:rsid w:val="00D67576"/>
    <w:rsid w:val="00D70500"/>
    <w:rsid w:val="00D725FA"/>
    <w:rsid w:val="00D726D9"/>
    <w:rsid w:val="00D72918"/>
    <w:rsid w:val="00D72D76"/>
    <w:rsid w:val="00D7474C"/>
    <w:rsid w:val="00D74D4B"/>
    <w:rsid w:val="00D74E6D"/>
    <w:rsid w:val="00D80EEC"/>
    <w:rsid w:val="00D831AF"/>
    <w:rsid w:val="00D8352E"/>
    <w:rsid w:val="00D852C8"/>
    <w:rsid w:val="00D85473"/>
    <w:rsid w:val="00D857DB"/>
    <w:rsid w:val="00D86820"/>
    <w:rsid w:val="00D8730B"/>
    <w:rsid w:val="00D90F8F"/>
    <w:rsid w:val="00D92617"/>
    <w:rsid w:val="00D9261C"/>
    <w:rsid w:val="00D9353E"/>
    <w:rsid w:val="00D93D54"/>
    <w:rsid w:val="00D93F34"/>
    <w:rsid w:val="00D963BA"/>
    <w:rsid w:val="00D966EC"/>
    <w:rsid w:val="00D968CB"/>
    <w:rsid w:val="00D969E8"/>
    <w:rsid w:val="00D9721B"/>
    <w:rsid w:val="00D97ABD"/>
    <w:rsid w:val="00DA0990"/>
    <w:rsid w:val="00DA0DEF"/>
    <w:rsid w:val="00DA229A"/>
    <w:rsid w:val="00DA3D94"/>
    <w:rsid w:val="00DA4887"/>
    <w:rsid w:val="00DA6C26"/>
    <w:rsid w:val="00DA6CAF"/>
    <w:rsid w:val="00DA75C9"/>
    <w:rsid w:val="00DA7DAE"/>
    <w:rsid w:val="00DB0983"/>
    <w:rsid w:val="00DB0B17"/>
    <w:rsid w:val="00DB0F26"/>
    <w:rsid w:val="00DB1FD6"/>
    <w:rsid w:val="00DB2A58"/>
    <w:rsid w:val="00DB40A3"/>
    <w:rsid w:val="00DB529D"/>
    <w:rsid w:val="00DB58CB"/>
    <w:rsid w:val="00DB6591"/>
    <w:rsid w:val="00DB786C"/>
    <w:rsid w:val="00DB7CAE"/>
    <w:rsid w:val="00DC1FAF"/>
    <w:rsid w:val="00DC252E"/>
    <w:rsid w:val="00DC2A60"/>
    <w:rsid w:val="00DC2ED5"/>
    <w:rsid w:val="00DC3AB6"/>
    <w:rsid w:val="00DC4203"/>
    <w:rsid w:val="00DC66FD"/>
    <w:rsid w:val="00DC6B4B"/>
    <w:rsid w:val="00DC7B5A"/>
    <w:rsid w:val="00DC7FC0"/>
    <w:rsid w:val="00DD0AEA"/>
    <w:rsid w:val="00DD1544"/>
    <w:rsid w:val="00DD1CC1"/>
    <w:rsid w:val="00DD33D2"/>
    <w:rsid w:val="00DD3950"/>
    <w:rsid w:val="00DD3C45"/>
    <w:rsid w:val="00DD5DB3"/>
    <w:rsid w:val="00DD6B8A"/>
    <w:rsid w:val="00DD7E31"/>
    <w:rsid w:val="00DE1157"/>
    <w:rsid w:val="00DE1EBE"/>
    <w:rsid w:val="00DE24D3"/>
    <w:rsid w:val="00DE2DE6"/>
    <w:rsid w:val="00DE31B6"/>
    <w:rsid w:val="00DE3721"/>
    <w:rsid w:val="00DE580E"/>
    <w:rsid w:val="00DE6AF3"/>
    <w:rsid w:val="00DE7343"/>
    <w:rsid w:val="00DE7737"/>
    <w:rsid w:val="00DE777E"/>
    <w:rsid w:val="00DE7E33"/>
    <w:rsid w:val="00DE7E62"/>
    <w:rsid w:val="00DF171E"/>
    <w:rsid w:val="00DF2638"/>
    <w:rsid w:val="00DF2D7C"/>
    <w:rsid w:val="00DF3F72"/>
    <w:rsid w:val="00DF4178"/>
    <w:rsid w:val="00E0056E"/>
    <w:rsid w:val="00E036E4"/>
    <w:rsid w:val="00E0377F"/>
    <w:rsid w:val="00E0403E"/>
    <w:rsid w:val="00E0415C"/>
    <w:rsid w:val="00E049EF"/>
    <w:rsid w:val="00E054CF"/>
    <w:rsid w:val="00E06175"/>
    <w:rsid w:val="00E06ACD"/>
    <w:rsid w:val="00E07412"/>
    <w:rsid w:val="00E10A9D"/>
    <w:rsid w:val="00E12905"/>
    <w:rsid w:val="00E12E34"/>
    <w:rsid w:val="00E12F7D"/>
    <w:rsid w:val="00E13A6E"/>
    <w:rsid w:val="00E13DA7"/>
    <w:rsid w:val="00E1495E"/>
    <w:rsid w:val="00E151D3"/>
    <w:rsid w:val="00E1520C"/>
    <w:rsid w:val="00E16A83"/>
    <w:rsid w:val="00E172AF"/>
    <w:rsid w:val="00E17BA5"/>
    <w:rsid w:val="00E2172D"/>
    <w:rsid w:val="00E21949"/>
    <w:rsid w:val="00E21D27"/>
    <w:rsid w:val="00E22252"/>
    <w:rsid w:val="00E22D8E"/>
    <w:rsid w:val="00E23342"/>
    <w:rsid w:val="00E23A33"/>
    <w:rsid w:val="00E26990"/>
    <w:rsid w:val="00E26D0C"/>
    <w:rsid w:val="00E27566"/>
    <w:rsid w:val="00E31952"/>
    <w:rsid w:val="00E31991"/>
    <w:rsid w:val="00E32704"/>
    <w:rsid w:val="00E32AC0"/>
    <w:rsid w:val="00E3303E"/>
    <w:rsid w:val="00E33AAA"/>
    <w:rsid w:val="00E3542B"/>
    <w:rsid w:val="00E364B7"/>
    <w:rsid w:val="00E37580"/>
    <w:rsid w:val="00E40A6C"/>
    <w:rsid w:val="00E40EBB"/>
    <w:rsid w:val="00E4141F"/>
    <w:rsid w:val="00E44072"/>
    <w:rsid w:val="00E447C2"/>
    <w:rsid w:val="00E4574B"/>
    <w:rsid w:val="00E4580E"/>
    <w:rsid w:val="00E5023B"/>
    <w:rsid w:val="00E5115F"/>
    <w:rsid w:val="00E5280E"/>
    <w:rsid w:val="00E52913"/>
    <w:rsid w:val="00E53E53"/>
    <w:rsid w:val="00E5414A"/>
    <w:rsid w:val="00E54339"/>
    <w:rsid w:val="00E548B2"/>
    <w:rsid w:val="00E55044"/>
    <w:rsid w:val="00E55380"/>
    <w:rsid w:val="00E55C3C"/>
    <w:rsid w:val="00E55C41"/>
    <w:rsid w:val="00E577CA"/>
    <w:rsid w:val="00E60B1C"/>
    <w:rsid w:val="00E63574"/>
    <w:rsid w:val="00E6424D"/>
    <w:rsid w:val="00E6466E"/>
    <w:rsid w:val="00E64816"/>
    <w:rsid w:val="00E669AB"/>
    <w:rsid w:val="00E66ACB"/>
    <w:rsid w:val="00E717BD"/>
    <w:rsid w:val="00E71FFC"/>
    <w:rsid w:val="00E72547"/>
    <w:rsid w:val="00E73AAE"/>
    <w:rsid w:val="00E73D2F"/>
    <w:rsid w:val="00E74331"/>
    <w:rsid w:val="00E7544E"/>
    <w:rsid w:val="00E75666"/>
    <w:rsid w:val="00E77489"/>
    <w:rsid w:val="00E77A15"/>
    <w:rsid w:val="00E80054"/>
    <w:rsid w:val="00E81873"/>
    <w:rsid w:val="00E82C8E"/>
    <w:rsid w:val="00E84A37"/>
    <w:rsid w:val="00E853D4"/>
    <w:rsid w:val="00E86D56"/>
    <w:rsid w:val="00E90C43"/>
    <w:rsid w:val="00E911D8"/>
    <w:rsid w:val="00E91AAE"/>
    <w:rsid w:val="00E91BDB"/>
    <w:rsid w:val="00E91C80"/>
    <w:rsid w:val="00E925DC"/>
    <w:rsid w:val="00E93682"/>
    <w:rsid w:val="00E93B0C"/>
    <w:rsid w:val="00E94187"/>
    <w:rsid w:val="00E947E5"/>
    <w:rsid w:val="00E95860"/>
    <w:rsid w:val="00EA0453"/>
    <w:rsid w:val="00EA3915"/>
    <w:rsid w:val="00EA3C65"/>
    <w:rsid w:val="00EA401C"/>
    <w:rsid w:val="00EB3D7B"/>
    <w:rsid w:val="00EB3FF1"/>
    <w:rsid w:val="00EB568E"/>
    <w:rsid w:val="00EB5838"/>
    <w:rsid w:val="00EB58CC"/>
    <w:rsid w:val="00EB6E26"/>
    <w:rsid w:val="00EC01CD"/>
    <w:rsid w:val="00EC0B91"/>
    <w:rsid w:val="00EC24E8"/>
    <w:rsid w:val="00EC3B65"/>
    <w:rsid w:val="00EC45FC"/>
    <w:rsid w:val="00EC539E"/>
    <w:rsid w:val="00EC57AA"/>
    <w:rsid w:val="00EC62FC"/>
    <w:rsid w:val="00EC662E"/>
    <w:rsid w:val="00EC7DDE"/>
    <w:rsid w:val="00ED20DF"/>
    <w:rsid w:val="00ED2ACE"/>
    <w:rsid w:val="00ED4131"/>
    <w:rsid w:val="00ED42EB"/>
    <w:rsid w:val="00ED58AA"/>
    <w:rsid w:val="00ED79DA"/>
    <w:rsid w:val="00EE0AE5"/>
    <w:rsid w:val="00EE31F3"/>
    <w:rsid w:val="00EE5D78"/>
    <w:rsid w:val="00EE7CEB"/>
    <w:rsid w:val="00EF00E9"/>
    <w:rsid w:val="00EF05BB"/>
    <w:rsid w:val="00EF1722"/>
    <w:rsid w:val="00EF1796"/>
    <w:rsid w:val="00EF17D6"/>
    <w:rsid w:val="00EF1EB2"/>
    <w:rsid w:val="00EF5A96"/>
    <w:rsid w:val="00EF5DF6"/>
    <w:rsid w:val="00F0038D"/>
    <w:rsid w:val="00F01E8B"/>
    <w:rsid w:val="00F04A4A"/>
    <w:rsid w:val="00F06061"/>
    <w:rsid w:val="00F071D5"/>
    <w:rsid w:val="00F10EE6"/>
    <w:rsid w:val="00F10F9F"/>
    <w:rsid w:val="00F11EF8"/>
    <w:rsid w:val="00F135E5"/>
    <w:rsid w:val="00F14E3E"/>
    <w:rsid w:val="00F15469"/>
    <w:rsid w:val="00F161AE"/>
    <w:rsid w:val="00F1721C"/>
    <w:rsid w:val="00F17516"/>
    <w:rsid w:val="00F17537"/>
    <w:rsid w:val="00F17767"/>
    <w:rsid w:val="00F17DD9"/>
    <w:rsid w:val="00F20DAC"/>
    <w:rsid w:val="00F210F0"/>
    <w:rsid w:val="00F22E5D"/>
    <w:rsid w:val="00F24103"/>
    <w:rsid w:val="00F2478C"/>
    <w:rsid w:val="00F24F7F"/>
    <w:rsid w:val="00F24FF0"/>
    <w:rsid w:val="00F25058"/>
    <w:rsid w:val="00F25599"/>
    <w:rsid w:val="00F26EE6"/>
    <w:rsid w:val="00F306EF"/>
    <w:rsid w:val="00F3077E"/>
    <w:rsid w:val="00F31391"/>
    <w:rsid w:val="00F31730"/>
    <w:rsid w:val="00F3194A"/>
    <w:rsid w:val="00F32F55"/>
    <w:rsid w:val="00F33256"/>
    <w:rsid w:val="00F34AD2"/>
    <w:rsid w:val="00F34F68"/>
    <w:rsid w:val="00F35208"/>
    <w:rsid w:val="00F36483"/>
    <w:rsid w:val="00F36AF6"/>
    <w:rsid w:val="00F40246"/>
    <w:rsid w:val="00F41979"/>
    <w:rsid w:val="00F4322B"/>
    <w:rsid w:val="00F45599"/>
    <w:rsid w:val="00F46677"/>
    <w:rsid w:val="00F46DC8"/>
    <w:rsid w:val="00F47708"/>
    <w:rsid w:val="00F50DDA"/>
    <w:rsid w:val="00F510A7"/>
    <w:rsid w:val="00F524F1"/>
    <w:rsid w:val="00F5396F"/>
    <w:rsid w:val="00F53CF2"/>
    <w:rsid w:val="00F5420E"/>
    <w:rsid w:val="00F544FF"/>
    <w:rsid w:val="00F549B6"/>
    <w:rsid w:val="00F55B68"/>
    <w:rsid w:val="00F55F32"/>
    <w:rsid w:val="00F56D49"/>
    <w:rsid w:val="00F574D3"/>
    <w:rsid w:val="00F5776A"/>
    <w:rsid w:val="00F57CB7"/>
    <w:rsid w:val="00F57E9D"/>
    <w:rsid w:val="00F60301"/>
    <w:rsid w:val="00F60CB5"/>
    <w:rsid w:val="00F60F92"/>
    <w:rsid w:val="00F62797"/>
    <w:rsid w:val="00F63405"/>
    <w:rsid w:val="00F65956"/>
    <w:rsid w:val="00F6630D"/>
    <w:rsid w:val="00F66DF6"/>
    <w:rsid w:val="00F67DDE"/>
    <w:rsid w:val="00F80826"/>
    <w:rsid w:val="00F80DB7"/>
    <w:rsid w:val="00F8282F"/>
    <w:rsid w:val="00F829EA"/>
    <w:rsid w:val="00F82E7D"/>
    <w:rsid w:val="00F83AC1"/>
    <w:rsid w:val="00F842C3"/>
    <w:rsid w:val="00F8437F"/>
    <w:rsid w:val="00F86E0F"/>
    <w:rsid w:val="00F87B48"/>
    <w:rsid w:val="00F90DC2"/>
    <w:rsid w:val="00F91659"/>
    <w:rsid w:val="00F9489D"/>
    <w:rsid w:val="00F9563A"/>
    <w:rsid w:val="00F956E0"/>
    <w:rsid w:val="00F957EE"/>
    <w:rsid w:val="00F95BBE"/>
    <w:rsid w:val="00F977FA"/>
    <w:rsid w:val="00FA07EF"/>
    <w:rsid w:val="00FA0C65"/>
    <w:rsid w:val="00FA2289"/>
    <w:rsid w:val="00FA34F9"/>
    <w:rsid w:val="00FA4F4C"/>
    <w:rsid w:val="00FA4F8E"/>
    <w:rsid w:val="00FA6153"/>
    <w:rsid w:val="00FA67E1"/>
    <w:rsid w:val="00FA707A"/>
    <w:rsid w:val="00FA7597"/>
    <w:rsid w:val="00FB19A5"/>
    <w:rsid w:val="00FB2ED9"/>
    <w:rsid w:val="00FB34EA"/>
    <w:rsid w:val="00FB59B1"/>
    <w:rsid w:val="00FB5B93"/>
    <w:rsid w:val="00FB69E7"/>
    <w:rsid w:val="00FB6D68"/>
    <w:rsid w:val="00FB7851"/>
    <w:rsid w:val="00FC3FAB"/>
    <w:rsid w:val="00FC4DE9"/>
    <w:rsid w:val="00FC614F"/>
    <w:rsid w:val="00FC6E0C"/>
    <w:rsid w:val="00FD04BB"/>
    <w:rsid w:val="00FD1FD4"/>
    <w:rsid w:val="00FD2390"/>
    <w:rsid w:val="00FD3EF1"/>
    <w:rsid w:val="00FD630B"/>
    <w:rsid w:val="00FD6952"/>
    <w:rsid w:val="00FD6E2D"/>
    <w:rsid w:val="00FD7039"/>
    <w:rsid w:val="00FE0E58"/>
    <w:rsid w:val="00FE27E4"/>
    <w:rsid w:val="00FE42CE"/>
    <w:rsid w:val="00FE4745"/>
    <w:rsid w:val="00FE50FD"/>
    <w:rsid w:val="00FE5E1E"/>
    <w:rsid w:val="00FF133C"/>
    <w:rsid w:val="00FF173F"/>
    <w:rsid w:val="00FF2249"/>
    <w:rsid w:val="00FF22DA"/>
    <w:rsid w:val="00FF2CFA"/>
    <w:rsid w:val="00FF2E6D"/>
    <w:rsid w:val="00FF3EB9"/>
    <w:rsid w:val="00FF51E7"/>
    <w:rsid w:val="00FF5C20"/>
    <w:rsid w:val="00FF606B"/>
    <w:rsid w:val="00FF625E"/>
    <w:rsid w:val="00FF6988"/>
    <w:rsid w:val="00FF71AC"/>
    <w:rsid w:val="00FF723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F4E8"/>
  <w15:docId w15:val="{9CC2AD45-0CC6-4FD6-940F-012181AE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28F"/>
    <w:pPr>
      <w:ind w:firstLine="709"/>
      <w:jc w:val="both"/>
    </w:pPr>
    <w:rPr>
      <w:rFonts w:ascii="Times New Roman" w:hAnsi="Times New Roman" w:cs="Times New Roman"/>
      <w:sz w:val="28"/>
      <w:szCs w:val="28"/>
    </w:rPr>
  </w:style>
  <w:style w:type="paragraph" w:styleId="2">
    <w:name w:val="heading 2"/>
    <w:basedOn w:val="a"/>
    <w:next w:val="a"/>
    <w:link w:val="20"/>
    <w:uiPriority w:val="9"/>
    <w:unhideWhenUsed/>
    <w:qFormat/>
    <w:rsid w:val="00F034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nhideWhenUsed/>
    <w:qFormat/>
    <w:rsid w:val="007C6E93"/>
    <w:pPr>
      <w:spacing w:beforeAutospacing="1" w:afterAutospacing="1"/>
      <w:ind w:firstLine="0"/>
      <w:jc w:val="left"/>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F0347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qFormat/>
    <w:rsid w:val="007C6E93"/>
    <w:rPr>
      <w:rFonts w:ascii="Times New Roman" w:hAnsi="Times New Roman" w:cs="Times New Roman"/>
      <w:b/>
      <w:bCs/>
      <w:sz w:val="27"/>
      <w:szCs w:val="27"/>
      <w:lang w:val="ru-RU" w:eastAsia="ru-RU"/>
    </w:rPr>
  </w:style>
  <w:style w:type="character" w:customStyle="1" w:styleId="a3">
    <w:name w:val="Назва Знак"/>
    <w:uiPriority w:val="10"/>
    <w:qFormat/>
    <w:locked/>
    <w:rsid w:val="00E53CCD"/>
    <w:rPr>
      <w:rFonts w:ascii="Times New Roman" w:hAnsi="Times New Roman" w:cs="Times New Roman"/>
      <w:b/>
      <w:sz w:val="20"/>
      <w:szCs w:val="20"/>
      <w:lang w:val="ru-RU" w:eastAsia="ru-RU"/>
    </w:rPr>
  </w:style>
  <w:style w:type="character" w:customStyle="1" w:styleId="a4">
    <w:name w:val="Верхній колонтитул Знак"/>
    <w:uiPriority w:val="99"/>
    <w:qFormat/>
    <w:locked/>
    <w:rsid w:val="00E53CCD"/>
    <w:rPr>
      <w:rFonts w:ascii="Times New Roman" w:hAnsi="Times New Roman" w:cs="Times New Roman"/>
      <w:sz w:val="28"/>
      <w:szCs w:val="28"/>
      <w:lang w:eastAsia="uk-UA"/>
    </w:rPr>
  </w:style>
  <w:style w:type="character" w:customStyle="1" w:styleId="a5">
    <w:name w:val="Нижній колонтитул Знак"/>
    <w:uiPriority w:val="99"/>
    <w:qFormat/>
    <w:locked/>
    <w:rsid w:val="00E53CCD"/>
    <w:rPr>
      <w:rFonts w:ascii="Times New Roman" w:hAnsi="Times New Roman" w:cs="Times New Roman"/>
      <w:sz w:val="28"/>
      <w:szCs w:val="28"/>
      <w:lang w:eastAsia="uk-UA"/>
    </w:rPr>
  </w:style>
  <w:style w:type="character" w:customStyle="1" w:styleId="a6">
    <w:name w:val="Текст у виносці Знак"/>
    <w:uiPriority w:val="99"/>
    <w:semiHidden/>
    <w:qFormat/>
    <w:locked/>
    <w:rsid w:val="007A6609"/>
    <w:rPr>
      <w:rFonts w:ascii="Tahoma" w:hAnsi="Tahoma" w:cs="Tahoma"/>
      <w:sz w:val="16"/>
      <w:szCs w:val="16"/>
      <w:lang w:eastAsia="uk-UA"/>
    </w:rPr>
  </w:style>
  <w:style w:type="character" w:styleId="a7">
    <w:name w:val="Placeholder Text"/>
    <w:uiPriority w:val="99"/>
    <w:semiHidden/>
    <w:qFormat/>
    <w:rsid w:val="00542533"/>
    <w:rPr>
      <w:rFonts w:cs="Times New Roman"/>
      <w:color w:val="808080"/>
    </w:rPr>
  </w:style>
  <w:style w:type="character" w:customStyle="1" w:styleId="a8">
    <w:name w:val="Привітання Знак"/>
    <w:uiPriority w:val="6"/>
    <w:qFormat/>
    <w:rsid w:val="00523C13"/>
    <w:rPr>
      <w:rFonts w:eastAsia="Times New Roman" w:cs="Times New Roman"/>
      <w:b/>
      <w:bCs/>
      <w:color w:val="000000"/>
      <w:lang w:val="ru-RU"/>
    </w:rPr>
  </w:style>
  <w:style w:type="character" w:customStyle="1" w:styleId="a9">
    <w:name w:val="Без інтервалів Знак"/>
    <w:uiPriority w:val="1"/>
    <w:qFormat/>
    <w:rsid w:val="008D10FD"/>
    <w:rPr>
      <w:rFonts w:ascii="Times New Roman" w:hAnsi="Times New Roman" w:cs="Times New Roman"/>
      <w:sz w:val="28"/>
      <w:szCs w:val="28"/>
      <w:lang w:eastAsia="uk-UA"/>
    </w:rPr>
  </w:style>
  <w:style w:type="character" w:customStyle="1" w:styleId="aa">
    <w:name w:val="Текст примітки Знак"/>
    <w:uiPriority w:val="99"/>
    <w:qFormat/>
    <w:rsid w:val="00F93AAA"/>
    <w:rPr>
      <w:rFonts w:ascii="Times New Roman" w:hAnsi="Times New Roman" w:cs="Times New Roman"/>
      <w:sz w:val="20"/>
      <w:szCs w:val="20"/>
      <w:lang w:eastAsia="uk-UA"/>
    </w:rPr>
  </w:style>
  <w:style w:type="character" w:styleId="ab">
    <w:name w:val="annotation reference"/>
    <w:uiPriority w:val="99"/>
    <w:unhideWhenUsed/>
    <w:qFormat/>
    <w:rsid w:val="00F93AAA"/>
    <w:rPr>
      <w:sz w:val="16"/>
      <w:szCs w:val="16"/>
    </w:rPr>
  </w:style>
  <w:style w:type="character" w:customStyle="1" w:styleId="rvts44">
    <w:name w:val="rvts44"/>
    <w:basedOn w:val="a0"/>
    <w:qFormat/>
    <w:rsid w:val="000231B8"/>
  </w:style>
  <w:style w:type="character" w:customStyle="1" w:styleId="ac">
    <w:name w:val="Тема примітки Знак"/>
    <w:uiPriority w:val="99"/>
    <w:semiHidden/>
    <w:qFormat/>
    <w:rsid w:val="009520BB"/>
    <w:rPr>
      <w:rFonts w:ascii="Times New Roman" w:hAnsi="Times New Roman" w:cs="Times New Roman"/>
      <w:b/>
      <w:bCs/>
      <w:sz w:val="20"/>
      <w:szCs w:val="20"/>
      <w:lang w:eastAsia="uk-UA"/>
    </w:rPr>
  </w:style>
  <w:style w:type="character" w:styleId="ad">
    <w:name w:val="Hyperlink"/>
    <w:uiPriority w:val="99"/>
    <w:unhideWhenUsed/>
    <w:rsid w:val="009E140E"/>
    <w:rPr>
      <w:color w:val="0000FF"/>
      <w:u w:val="single"/>
    </w:rPr>
  </w:style>
  <w:style w:type="character" w:customStyle="1" w:styleId="rvts23">
    <w:name w:val="rvts23"/>
    <w:basedOn w:val="a0"/>
    <w:qFormat/>
    <w:rsid w:val="00CF0187"/>
  </w:style>
  <w:style w:type="character" w:customStyle="1" w:styleId="rvts9">
    <w:name w:val="rvts9"/>
    <w:basedOn w:val="a0"/>
    <w:qFormat/>
    <w:rsid w:val="00CF0187"/>
  </w:style>
  <w:style w:type="character" w:customStyle="1" w:styleId="ae">
    <w:name w:val="Абзац списку Знак"/>
    <w:aliases w:val="Bullets Знак,Normal bullet 2 Знак"/>
    <w:uiPriority w:val="34"/>
    <w:qFormat/>
    <w:locked/>
    <w:rsid w:val="0069796E"/>
    <w:rPr>
      <w:rFonts w:ascii="Times New Roman" w:hAnsi="Times New Roman" w:cs="Times New Roman"/>
      <w:sz w:val="28"/>
      <w:szCs w:val="28"/>
      <w:lang w:eastAsia="uk-UA"/>
    </w:rPr>
  </w:style>
  <w:style w:type="character" w:customStyle="1" w:styleId="ListLabel5">
    <w:name w:val="ListLabel 5"/>
    <w:qFormat/>
    <w:rsid w:val="0046207D"/>
    <w:rPr>
      <w:rFonts w:cs="Courier New"/>
    </w:rPr>
  </w:style>
  <w:style w:type="character" w:customStyle="1" w:styleId="rvts37">
    <w:name w:val="rvts37"/>
    <w:basedOn w:val="a0"/>
    <w:qFormat/>
    <w:rsid w:val="006A1963"/>
  </w:style>
  <w:style w:type="character" w:customStyle="1" w:styleId="fontstyle01">
    <w:name w:val="fontstyle01"/>
    <w:basedOn w:val="a0"/>
    <w:qFormat/>
    <w:rsid w:val="00EC79DB"/>
    <w:rPr>
      <w:rFonts w:ascii="Times New Roman" w:hAnsi="Times New Roman" w:cs="Times New Roman"/>
      <w:b w:val="0"/>
      <w:bCs w:val="0"/>
      <w:i w:val="0"/>
      <w:iCs w:val="0"/>
      <w:color w:val="000000"/>
      <w:sz w:val="30"/>
      <w:szCs w:val="30"/>
    </w:rPr>
  </w:style>
  <w:style w:type="character" w:customStyle="1" w:styleId="rvts48">
    <w:name w:val="rvts48"/>
    <w:basedOn w:val="a0"/>
    <w:qFormat/>
    <w:rsid w:val="007C6E93"/>
  </w:style>
  <w:style w:type="character" w:customStyle="1" w:styleId="ListLabel6">
    <w:name w:val="ListLabel 6"/>
    <w:qFormat/>
    <w:rPr>
      <w:rFonts w:eastAsia="Times New Roman" w:cs="Times New Roman"/>
      <w:b w:val="0"/>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color w:val="000000"/>
      <w:sz w:val="28"/>
      <w:szCs w:val="28"/>
      <w:u w:val="none"/>
      <w:lang w:val="ru-RU"/>
    </w:rPr>
  </w:style>
  <w:style w:type="character" w:customStyle="1" w:styleId="ListLabel12">
    <w:name w:val="ListLabel 12"/>
    <w:qFormat/>
    <w:rPr>
      <w:sz w:val="28"/>
      <w:szCs w:val="28"/>
    </w:rPr>
  </w:style>
  <w:style w:type="character" w:customStyle="1" w:styleId="ListLabel13">
    <w:name w:val="ListLabel 13"/>
    <w:qFormat/>
  </w:style>
  <w:style w:type="character" w:customStyle="1" w:styleId="ListLabel14">
    <w:name w:val="ListLabel 14"/>
    <w:qFormat/>
    <w:rPr>
      <w:color w:val="000000" w:themeColor="text1"/>
    </w:rPr>
  </w:style>
  <w:style w:type="character" w:customStyle="1" w:styleId="ListLabel15">
    <w:name w:val="ListLabel 15"/>
    <w:qFormat/>
    <w:rPr>
      <w:sz w:val="20"/>
      <w:szCs w:val="20"/>
      <w:highlight w:val="white"/>
    </w:rPr>
  </w:style>
  <w:style w:type="character" w:customStyle="1" w:styleId="ListLabel16">
    <w:name w:val="ListLabel 16"/>
    <w:qFormat/>
    <w:rPr>
      <w:bCs/>
      <w:iCs/>
      <w:color w:val="000099"/>
      <w:sz w:val="20"/>
      <w:szCs w:val="20"/>
      <w:highlight w:val="white"/>
    </w:rPr>
  </w:style>
  <w:style w:type="character" w:customStyle="1" w:styleId="ListLabel17">
    <w:name w:val="ListLabel 17"/>
    <w:qFormat/>
    <w:rPr>
      <w:color w:val="000000" w:themeColor="text1"/>
    </w:rPr>
  </w:style>
  <w:style w:type="character" w:customStyle="1" w:styleId="ListLabel18">
    <w:name w:val="ListLabel 18"/>
    <w:qFormat/>
    <w:rPr>
      <w:color w:val="000000" w:themeColor="text1"/>
    </w:rPr>
  </w:style>
  <w:style w:type="character" w:customStyle="1" w:styleId="rvts15">
    <w:name w:val="rvts15"/>
    <w:basedOn w:val="a0"/>
    <w:qFormat/>
    <w:rsid w:val="0084623C"/>
  </w:style>
  <w:style w:type="character" w:customStyle="1" w:styleId="ListLabel19">
    <w:name w:val="ListLabel 19"/>
    <w:qFormat/>
    <w:rPr>
      <w:b w:val="0"/>
      <w:i w:val="0"/>
      <w:sz w:val="28"/>
    </w:rPr>
  </w:style>
  <w:style w:type="character" w:customStyle="1" w:styleId="ListLabel20">
    <w:name w:val="ListLabel 20"/>
    <w:qFormat/>
  </w:style>
  <w:style w:type="character" w:customStyle="1" w:styleId="ListLabel21">
    <w:name w:val="ListLabel 21"/>
    <w:qFormat/>
    <w:rPr>
      <w:b w:val="0"/>
      <w:i w:val="0"/>
      <w:sz w:val="28"/>
    </w:rPr>
  </w:style>
  <w:style w:type="character" w:customStyle="1" w:styleId="ListLabel22">
    <w:name w:val="ListLabel 22"/>
    <w:qFormat/>
  </w:style>
  <w:style w:type="character" w:customStyle="1" w:styleId="ListLabel23">
    <w:name w:val="ListLabel 23"/>
    <w:qFormat/>
    <w:rPr>
      <w:sz w:val="28"/>
    </w:rPr>
  </w:style>
  <w:style w:type="character" w:customStyle="1" w:styleId="ListLabel24">
    <w:name w:val="ListLabel 24"/>
    <w:qFormat/>
    <w:rPr>
      <w:b w:val="0"/>
      <w:i w:val="0"/>
      <w:sz w:val="28"/>
    </w:rPr>
  </w:style>
  <w:style w:type="character" w:customStyle="1" w:styleId="ListLabel25">
    <w:name w:val="ListLabel 25"/>
    <w:qFormat/>
    <w:rPr>
      <w:sz w:val="28"/>
    </w:rPr>
  </w:style>
  <w:style w:type="character" w:customStyle="1" w:styleId="ListLabel26">
    <w:name w:val="ListLabel 26"/>
    <w:qFormat/>
    <w:rPr>
      <w:b w:val="0"/>
      <w:i w:val="0"/>
      <w:sz w:val="28"/>
    </w:rPr>
  </w:style>
  <w:style w:type="paragraph" w:styleId="af">
    <w:name w:val="Body Text"/>
    <w:basedOn w:val="a"/>
    <w:pPr>
      <w:spacing w:after="140" w:line="276" w:lineRule="auto"/>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customStyle="1" w:styleId="af2">
    <w:name w:val="Покажчик"/>
    <w:basedOn w:val="a"/>
    <w:qFormat/>
    <w:pPr>
      <w:suppressLineNumbers/>
    </w:pPr>
    <w:rPr>
      <w:rFonts w:cs="Arial Unicode MS"/>
    </w:rPr>
  </w:style>
  <w:style w:type="paragraph" w:customStyle="1" w:styleId="ShapkaDocumentu">
    <w:name w:val="Shapka Documentu"/>
    <w:basedOn w:val="a"/>
    <w:qFormat/>
    <w:rsid w:val="00E53CCD"/>
    <w:pPr>
      <w:keepNext/>
      <w:keepLines/>
      <w:spacing w:after="240"/>
      <w:ind w:left="3969"/>
      <w:jc w:val="center"/>
    </w:pPr>
    <w:rPr>
      <w:rFonts w:ascii="Antiqua" w:hAnsi="Antiqua"/>
      <w:sz w:val="26"/>
      <w:szCs w:val="20"/>
      <w:lang w:eastAsia="ru-RU"/>
    </w:rPr>
  </w:style>
  <w:style w:type="paragraph" w:styleId="af3">
    <w:name w:val="Title"/>
    <w:basedOn w:val="a"/>
    <w:uiPriority w:val="10"/>
    <w:qFormat/>
    <w:rsid w:val="00E53CCD"/>
    <w:pPr>
      <w:ind w:left="5040" w:firstLine="720"/>
      <w:jc w:val="center"/>
    </w:pPr>
    <w:rPr>
      <w:b/>
      <w:sz w:val="24"/>
      <w:szCs w:val="20"/>
      <w:lang w:val="ru-RU" w:eastAsia="ru-RU"/>
    </w:rPr>
  </w:style>
  <w:style w:type="paragraph" w:styleId="af4">
    <w:name w:val="header"/>
    <w:basedOn w:val="a"/>
    <w:uiPriority w:val="99"/>
    <w:unhideWhenUsed/>
    <w:rsid w:val="00E53CCD"/>
    <w:pPr>
      <w:tabs>
        <w:tab w:val="center" w:pos="4819"/>
        <w:tab w:val="right" w:pos="9639"/>
      </w:tabs>
    </w:pPr>
  </w:style>
  <w:style w:type="paragraph" w:styleId="af5">
    <w:name w:val="footer"/>
    <w:basedOn w:val="a"/>
    <w:uiPriority w:val="99"/>
    <w:unhideWhenUsed/>
    <w:rsid w:val="00E53CCD"/>
    <w:pPr>
      <w:tabs>
        <w:tab w:val="center" w:pos="4819"/>
        <w:tab w:val="right" w:pos="9639"/>
      </w:tabs>
    </w:pPr>
  </w:style>
  <w:style w:type="paragraph" w:customStyle="1" w:styleId="af6">
    <w:name w:val="Обратный адрес"/>
    <w:basedOn w:val="af7"/>
    <w:uiPriority w:val="3"/>
    <w:qFormat/>
    <w:rsid w:val="007A6609"/>
    <w:pPr>
      <w:spacing w:after="360"/>
      <w:contextualSpacing/>
      <w:jc w:val="left"/>
    </w:pPr>
    <w:rPr>
      <w:rFonts w:ascii="Calibri" w:hAnsi="Calibri"/>
      <w:color w:val="000000"/>
      <w:sz w:val="22"/>
      <w:szCs w:val="22"/>
      <w:lang w:val="ru-RU" w:eastAsia="en-US"/>
    </w:rPr>
  </w:style>
  <w:style w:type="paragraph" w:styleId="af7">
    <w:name w:val="No Spacing"/>
    <w:uiPriority w:val="1"/>
    <w:qFormat/>
    <w:rsid w:val="007A6609"/>
    <w:pPr>
      <w:ind w:firstLine="709"/>
      <w:jc w:val="both"/>
    </w:pPr>
    <w:rPr>
      <w:rFonts w:ascii="Times New Roman" w:hAnsi="Times New Roman" w:cs="Times New Roman"/>
      <w:sz w:val="28"/>
      <w:szCs w:val="28"/>
    </w:rPr>
  </w:style>
  <w:style w:type="paragraph" w:styleId="af8">
    <w:name w:val="Balloon Text"/>
    <w:basedOn w:val="a"/>
    <w:uiPriority w:val="99"/>
    <w:semiHidden/>
    <w:unhideWhenUsed/>
    <w:qFormat/>
    <w:rsid w:val="007A6609"/>
    <w:rPr>
      <w:rFonts w:ascii="Tahoma" w:hAnsi="Tahoma" w:cs="Tahoma"/>
      <w:sz w:val="16"/>
      <w:szCs w:val="16"/>
    </w:rPr>
  </w:style>
  <w:style w:type="paragraph" w:customStyle="1" w:styleId="af9">
    <w:name w:val="Текст даты"/>
    <w:basedOn w:val="a"/>
    <w:uiPriority w:val="35"/>
    <w:qFormat/>
    <w:rsid w:val="00E53CB5"/>
    <w:pPr>
      <w:spacing w:before="720" w:after="200" w:line="276" w:lineRule="auto"/>
      <w:contextualSpacing/>
      <w:jc w:val="left"/>
    </w:pPr>
    <w:rPr>
      <w:rFonts w:ascii="Calibri" w:hAnsi="Calibri"/>
      <w:color w:val="000000"/>
      <w:sz w:val="22"/>
      <w:szCs w:val="22"/>
      <w:lang w:val="ru-RU" w:eastAsia="en-US"/>
    </w:rPr>
  </w:style>
  <w:style w:type="paragraph" w:styleId="afa">
    <w:name w:val="Salutation"/>
    <w:basedOn w:val="af7"/>
    <w:next w:val="a"/>
    <w:uiPriority w:val="6"/>
    <w:unhideWhenUsed/>
    <w:qFormat/>
    <w:rsid w:val="00523C13"/>
    <w:pPr>
      <w:spacing w:before="480" w:after="320"/>
      <w:contextualSpacing/>
      <w:jc w:val="left"/>
    </w:pPr>
    <w:rPr>
      <w:rFonts w:ascii="Calibri" w:hAnsi="Calibri"/>
      <w:b/>
      <w:bCs/>
      <w:color w:val="000000"/>
      <w:sz w:val="22"/>
      <w:szCs w:val="22"/>
      <w:lang w:val="ru-RU" w:eastAsia="en-US"/>
    </w:rPr>
  </w:style>
  <w:style w:type="paragraph" w:styleId="afb">
    <w:name w:val="List Paragraph"/>
    <w:aliases w:val="Bullets,Normal bullet 2"/>
    <w:basedOn w:val="a"/>
    <w:uiPriority w:val="34"/>
    <w:qFormat/>
    <w:rsid w:val="001740C0"/>
    <w:pPr>
      <w:ind w:left="720"/>
      <w:contextualSpacing/>
    </w:pPr>
  </w:style>
  <w:style w:type="paragraph" w:customStyle="1" w:styleId="Default">
    <w:name w:val="Default"/>
    <w:qFormat/>
    <w:rsid w:val="00BB6789"/>
    <w:pPr>
      <w:ind w:firstLine="709"/>
      <w:jc w:val="both"/>
    </w:pPr>
    <w:rPr>
      <w:rFonts w:ascii="Times New Roman" w:eastAsia="Calibri" w:hAnsi="Times New Roman" w:cs="Times New Roman"/>
      <w:color w:val="000000"/>
      <w:sz w:val="24"/>
      <w:szCs w:val="24"/>
      <w:lang w:eastAsia="en-US"/>
    </w:rPr>
  </w:style>
  <w:style w:type="paragraph" w:styleId="afc">
    <w:name w:val="annotation text"/>
    <w:basedOn w:val="a"/>
    <w:uiPriority w:val="99"/>
    <w:unhideWhenUsed/>
    <w:qFormat/>
    <w:rsid w:val="00F93AAA"/>
    <w:rPr>
      <w:sz w:val="20"/>
      <w:szCs w:val="20"/>
    </w:rPr>
  </w:style>
  <w:style w:type="paragraph" w:customStyle="1" w:styleId="rvps2">
    <w:name w:val="rvps2"/>
    <w:basedOn w:val="a"/>
    <w:qFormat/>
    <w:rsid w:val="003F15CA"/>
    <w:pPr>
      <w:spacing w:beforeAutospacing="1" w:afterAutospacing="1"/>
      <w:jc w:val="left"/>
    </w:pPr>
    <w:rPr>
      <w:sz w:val="24"/>
      <w:szCs w:val="24"/>
    </w:rPr>
  </w:style>
  <w:style w:type="paragraph" w:styleId="afd">
    <w:name w:val="annotation subject"/>
    <w:basedOn w:val="afc"/>
    <w:next w:val="afc"/>
    <w:uiPriority w:val="99"/>
    <w:semiHidden/>
    <w:unhideWhenUsed/>
    <w:qFormat/>
    <w:rsid w:val="009520BB"/>
    <w:rPr>
      <w:b/>
      <w:bCs/>
    </w:rPr>
  </w:style>
  <w:style w:type="paragraph" w:customStyle="1" w:styleId="rvps4">
    <w:name w:val="rvps4"/>
    <w:basedOn w:val="a"/>
    <w:qFormat/>
    <w:rsid w:val="00CF0187"/>
    <w:pPr>
      <w:spacing w:beforeAutospacing="1" w:afterAutospacing="1"/>
      <w:jc w:val="left"/>
    </w:pPr>
    <w:rPr>
      <w:sz w:val="24"/>
      <w:szCs w:val="24"/>
    </w:rPr>
  </w:style>
  <w:style w:type="paragraph" w:customStyle="1" w:styleId="rvps7">
    <w:name w:val="rvps7"/>
    <w:basedOn w:val="a"/>
    <w:qFormat/>
    <w:rsid w:val="00CF0187"/>
    <w:pPr>
      <w:spacing w:beforeAutospacing="1" w:afterAutospacing="1"/>
      <w:jc w:val="left"/>
    </w:pPr>
    <w:rPr>
      <w:sz w:val="24"/>
      <w:szCs w:val="24"/>
    </w:rPr>
  </w:style>
  <w:style w:type="paragraph" w:styleId="afe">
    <w:name w:val="Revision"/>
    <w:uiPriority w:val="99"/>
    <w:semiHidden/>
    <w:qFormat/>
    <w:rsid w:val="00CF0187"/>
    <w:pPr>
      <w:ind w:firstLine="709"/>
      <w:jc w:val="both"/>
    </w:pPr>
    <w:rPr>
      <w:rFonts w:ascii="Times New Roman" w:hAnsi="Times New Roman" w:cs="Times New Roman"/>
      <w:sz w:val="28"/>
      <w:szCs w:val="28"/>
    </w:rPr>
  </w:style>
  <w:style w:type="paragraph" w:styleId="aff">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ff0"/>
    <w:uiPriority w:val="99"/>
    <w:unhideWhenUsed/>
    <w:qFormat/>
    <w:rsid w:val="007C6E93"/>
    <w:pPr>
      <w:spacing w:beforeAutospacing="1" w:afterAutospacing="1"/>
      <w:ind w:firstLine="0"/>
      <w:jc w:val="left"/>
    </w:pPr>
    <w:rPr>
      <w:sz w:val="24"/>
      <w:szCs w:val="24"/>
      <w:lang w:val="ru-RU" w:eastAsia="ru-RU"/>
    </w:rPr>
  </w:style>
  <w:style w:type="character" w:customStyle="1" w:styleId="aff0">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ff"/>
    <w:uiPriority w:val="99"/>
    <w:locked/>
    <w:rsid w:val="00B457F2"/>
    <w:rPr>
      <w:rFonts w:ascii="Times New Roman" w:hAnsi="Times New Roman" w:cs="Times New Roman"/>
      <w:sz w:val="24"/>
      <w:szCs w:val="24"/>
      <w:lang w:val="ru-RU" w:eastAsia="ru-RU"/>
    </w:rPr>
  </w:style>
  <w:style w:type="table" w:styleId="aff1">
    <w:name w:val="Table Grid"/>
    <w:basedOn w:val="a1"/>
    <w:uiPriority w:val="59"/>
    <w:rsid w:val="0090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uiPriority w:val="59"/>
    <w:rsid w:val="009F3D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2"/>
    <w:basedOn w:val="a1"/>
    <w:rsid w:val="00D74C1E"/>
    <w:rPr>
      <w:sz w:val="22"/>
      <w:szCs w:val="22"/>
    </w:rPr>
    <w:tblPr>
      <w:tblStyleRowBandSize w:val="1"/>
      <w:tblStyleColBandSize w:val="1"/>
    </w:tblPr>
  </w:style>
  <w:style w:type="character" w:customStyle="1" w:styleId="rvts46">
    <w:name w:val="rvts46"/>
    <w:basedOn w:val="a0"/>
    <w:rsid w:val="00BA0605"/>
  </w:style>
  <w:style w:type="character" w:customStyle="1" w:styleId="rvts11">
    <w:name w:val="rvts11"/>
    <w:basedOn w:val="a0"/>
    <w:rsid w:val="00BA0605"/>
  </w:style>
  <w:style w:type="character" w:customStyle="1" w:styleId="aff2">
    <w:name w:val="Текст виноски Знак"/>
    <w:basedOn w:val="a0"/>
    <w:link w:val="aff3"/>
    <w:uiPriority w:val="99"/>
    <w:semiHidden/>
    <w:rsid w:val="00B457F2"/>
    <w:rPr>
      <w:rFonts w:asciiTheme="minorHAnsi" w:eastAsiaTheme="minorHAnsi" w:hAnsiTheme="minorHAnsi" w:cstheme="minorBidi"/>
      <w:lang w:eastAsia="en-US"/>
    </w:rPr>
  </w:style>
  <w:style w:type="paragraph" w:styleId="aff3">
    <w:name w:val="footnote text"/>
    <w:basedOn w:val="a"/>
    <w:link w:val="aff2"/>
    <w:uiPriority w:val="99"/>
    <w:semiHidden/>
    <w:unhideWhenUsed/>
    <w:rsid w:val="00B457F2"/>
    <w:pPr>
      <w:ind w:firstLine="0"/>
      <w:jc w:val="left"/>
    </w:pPr>
    <w:rPr>
      <w:rFonts w:asciiTheme="minorHAnsi" w:eastAsiaTheme="minorHAnsi" w:hAnsiTheme="minorHAnsi" w:cstheme="minorBidi"/>
      <w:sz w:val="20"/>
      <w:szCs w:val="20"/>
      <w:lang w:eastAsia="en-US"/>
    </w:rPr>
  </w:style>
  <w:style w:type="character" w:styleId="aff4">
    <w:name w:val="FollowedHyperlink"/>
    <w:basedOn w:val="a0"/>
    <w:uiPriority w:val="99"/>
    <w:semiHidden/>
    <w:unhideWhenUsed/>
    <w:rsid w:val="009F16A5"/>
    <w:rPr>
      <w:color w:val="954F72" w:themeColor="followedHyperlink"/>
      <w:u w:val="single"/>
    </w:rPr>
  </w:style>
  <w:style w:type="paragraph" w:customStyle="1" w:styleId="10">
    <w:name w:val="Заголовок1"/>
    <w:basedOn w:val="a"/>
    <w:next w:val="af"/>
    <w:qFormat/>
    <w:rsid w:val="0011709D"/>
    <w:pPr>
      <w:keepNext/>
      <w:spacing w:before="240" w:after="120"/>
    </w:pPr>
    <w:rPr>
      <w:rFonts w:ascii="Liberation Sans" w:eastAsia="Microsoft YaHei" w:hAnsi="Liberation Sans" w:cs="Arial Unicode MS"/>
    </w:rPr>
  </w:style>
  <w:style w:type="paragraph" w:customStyle="1" w:styleId="rvps14">
    <w:name w:val="rvps14"/>
    <w:basedOn w:val="a"/>
    <w:rsid w:val="00DB786C"/>
    <w:pPr>
      <w:spacing w:before="100" w:beforeAutospacing="1" w:after="100" w:afterAutospacing="1"/>
      <w:ind w:firstLine="0"/>
      <w:jc w:val="left"/>
    </w:pPr>
    <w:rPr>
      <w:sz w:val="24"/>
      <w:szCs w:val="24"/>
    </w:rPr>
  </w:style>
  <w:style w:type="paragraph" w:customStyle="1" w:styleId="rvps6">
    <w:name w:val="rvps6"/>
    <w:basedOn w:val="a"/>
    <w:rsid w:val="00DB786C"/>
    <w:pPr>
      <w:spacing w:before="100" w:beforeAutospacing="1" w:after="100" w:afterAutospacing="1"/>
      <w:ind w:firstLine="0"/>
      <w:jc w:val="left"/>
    </w:pPr>
    <w:rPr>
      <w:sz w:val="24"/>
      <w:szCs w:val="24"/>
    </w:rPr>
  </w:style>
  <w:style w:type="paragraph" w:customStyle="1" w:styleId="rvps12">
    <w:name w:val="rvps12"/>
    <w:basedOn w:val="a"/>
    <w:rsid w:val="00A46E9B"/>
    <w:pPr>
      <w:spacing w:before="100" w:beforeAutospacing="1" w:after="100" w:afterAutospacing="1"/>
      <w:ind w:firstLine="0"/>
      <w:jc w:val="left"/>
    </w:pPr>
    <w:rPr>
      <w:sz w:val="24"/>
      <w:szCs w:val="24"/>
    </w:rPr>
  </w:style>
  <w:style w:type="paragraph" w:customStyle="1" w:styleId="Style1">
    <w:name w:val="Style1"/>
    <w:basedOn w:val="a"/>
    <w:qFormat/>
    <w:rsid w:val="001E3490"/>
    <w:pPr>
      <w:widowControl w:val="0"/>
      <w:autoSpaceDE w:val="0"/>
      <w:autoSpaceDN w:val="0"/>
      <w:adjustRightInd w:val="0"/>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8827">
      <w:bodyDiv w:val="1"/>
      <w:marLeft w:val="0"/>
      <w:marRight w:val="0"/>
      <w:marTop w:val="0"/>
      <w:marBottom w:val="0"/>
      <w:divBdr>
        <w:top w:val="none" w:sz="0" w:space="0" w:color="auto"/>
        <w:left w:val="none" w:sz="0" w:space="0" w:color="auto"/>
        <w:bottom w:val="none" w:sz="0" w:space="0" w:color="auto"/>
        <w:right w:val="none" w:sz="0" w:space="0" w:color="auto"/>
      </w:divBdr>
    </w:div>
    <w:div w:id="237129957">
      <w:bodyDiv w:val="1"/>
      <w:marLeft w:val="0"/>
      <w:marRight w:val="0"/>
      <w:marTop w:val="0"/>
      <w:marBottom w:val="0"/>
      <w:divBdr>
        <w:top w:val="none" w:sz="0" w:space="0" w:color="auto"/>
        <w:left w:val="none" w:sz="0" w:space="0" w:color="auto"/>
        <w:bottom w:val="none" w:sz="0" w:space="0" w:color="auto"/>
        <w:right w:val="none" w:sz="0" w:space="0" w:color="auto"/>
      </w:divBdr>
    </w:div>
    <w:div w:id="241112707">
      <w:bodyDiv w:val="1"/>
      <w:marLeft w:val="0"/>
      <w:marRight w:val="0"/>
      <w:marTop w:val="0"/>
      <w:marBottom w:val="0"/>
      <w:divBdr>
        <w:top w:val="none" w:sz="0" w:space="0" w:color="auto"/>
        <w:left w:val="none" w:sz="0" w:space="0" w:color="auto"/>
        <w:bottom w:val="none" w:sz="0" w:space="0" w:color="auto"/>
        <w:right w:val="none" w:sz="0" w:space="0" w:color="auto"/>
      </w:divBdr>
    </w:div>
    <w:div w:id="260262961">
      <w:bodyDiv w:val="1"/>
      <w:marLeft w:val="0"/>
      <w:marRight w:val="0"/>
      <w:marTop w:val="0"/>
      <w:marBottom w:val="0"/>
      <w:divBdr>
        <w:top w:val="none" w:sz="0" w:space="0" w:color="auto"/>
        <w:left w:val="none" w:sz="0" w:space="0" w:color="auto"/>
        <w:bottom w:val="none" w:sz="0" w:space="0" w:color="auto"/>
        <w:right w:val="none" w:sz="0" w:space="0" w:color="auto"/>
      </w:divBdr>
    </w:div>
    <w:div w:id="401953278">
      <w:bodyDiv w:val="1"/>
      <w:marLeft w:val="0"/>
      <w:marRight w:val="0"/>
      <w:marTop w:val="0"/>
      <w:marBottom w:val="0"/>
      <w:divBdr>
        <w:top w:val="none" w:sz="0" w:space="0" w:color="auto"/>
        <w:left w:val="none" w:sz="0" w:space="0" w:color="auto"/>
        <w:bottom w:val="none" w:sz="0" w:space="0" w:color="auto"/>
        <w:right w:val="none" w:sz="0" w:space="0" w:color="auto"/>
      </w:divBdr>
    </w:div>
    <w:div w:id="446778930">
      <w:bodyDiv w:val="1"/>
      <w:marLeft w:val="0"/>
      <w:marRight w:val="0"/>
      <w:marTop w:val="0"/>
      <w:marBottom w:val="0"/>
      <w:divBdr>
        <w:top w:val="none" w:sz="0" w:space="0" w:color="auto"/>
        <w:left w:val="none" w:sz="0" w:space="0" w:color="auto"/>
        <w:bottom w:val="none" w:sz="0" w:space="0" w:color="auto"/>
        <w:right w:val="none" w:sz="0" w:space="0" w:color="auto"/>
      </w:divBdr>
    </w:div>
    <w:div w:id="462775527">
      <w:bodyDiv w:val="1"/>
      <w:marLeft w:val="0"/>
      <w:marRight w:val="0"/>
      <w:marTop w:val="0"/>
      <w:marBottom w:val="0"/>
      <w:divBdr>
        <w:top w:val="none" w:sz="0" w:space="0" w:color="auto"/>
        <w:left w:val="none" w:sz="0" w:space="0" w:color="auto"/>
        <w:bottom w:val="none" w:sz="0" w:space="0" w:color="auto"/>
        <w:right w:val="none" w:sz="0" w:space="0" w:color="auto"/>
      </w:divBdr>
    </w:div>
    <w:div w:id="483084190">
      <w:bodyDiv w:val="1"/>
      <w:marLeft w:val="0"/>
      <w:marRight w:val="0"/>
      <w:marTop w:val="0"/>
      <w:marBottom w:val="0"/>
      <w:divBdr>
        <w:top w:val="none" w:sz="0" w:space="0" w:color="auto"/>
        <w:left w:val="none" w:sz="0" w:space="0" w:color="auto"/>
        <w:bottom w:val="none" w:sz="0" w:space="0" w:color="auto"/>
        <w:right w:val="none" w:sz="0" w:space="0" w:color="auto"/>
      </w:divBdr>
    </w:div>
    <w:div w:id="527714722">
      <w:bodyDiv w:val="1"/>
      <w:marLeft w:val="0"/>
      <w:marRight w:val="0"/>
      <w:marTop w:val="0"/>
      <w:marBottom w:val="0"/>
      <w:divBdr>
        <w:top w:val="none" w:sz="0" w:space="0" w:color="auto"/>
        <w:left w:val="none" w:sz="0" w:space="0" w:color="auto"/>
        <w:bottom w:val="none" w:sz="0" w:space="0" w:color="auto"/>
        <w:right w:val="none" w:sz="0" w:space="0" w:color="auto"/>
      </w:divBdr>
    </w:div>
    <w:div w:id="603996394">
      <w:bodyDiv w:val="1"/>
      <w:marLeft w:val="0"/>
      <w:marRight w:val="0"/>
      <w:marTop w:val="0"/>
      <w:marBottom w:val="0"/>
      <w:divBdr>
        <w:top w:val="none" w:sz="0" w:space="0" w:color="auto"/>
        <w:left w:val="none" w:sz="0" w:space="0" w:color="auto"/>
        <w:bottom w:val="none" w:sz="0" w:space="0" w:color="auto"/>
        <w:right w:val="none" w:sz="0" w:space="0" w:color="auto"/>
      </w:divBdr>
    </w:div>
    <w:div w:id="607734639">
      <w:bodyDiv w:val="1"/>
      <w:marLeft w:val="0"/>
      <w:marRight w:val="0"/>
      <w:marTop w:val="0"/>
      <w:marBottom w:val="0"/>
      <w:divBdr>
        <w:top w:val="none" w:sz="0" w:space="0" w:color="auto"/>
        <w:left w:val="none" w:sz="0" w:space="0" w:color="auto"/>
        <w:bottom w:val="none" w:sz="0" w:space="0" w:color="auto"/>
        <w:right w:val="none" w:sz="0" w:space="0" w:color="auto"/>
      </w:divBdr>
    </w:div>
    <w:div w:id="627011349">
      <w:bodyDiv w:val="1"/>
      <w:marLeft w:val="0"/>
      <w:marRight w:val="0"/>
      <w:marTop w:val="0"/>
      <w:marBottom w:val="0"/>
      <w:divBdr>
        <w:top w:val="none" w:sz="0" w:space="0" w:color="auto"/>
        <w:left w:val="none" w:sz="0" w:space="0" w:color="auto"/>
        <w:bottom w:val="none" w:sz="0" w:space="0" w:color="auto"/>
        <w:right w:val="none" w:sz="0" w:space="0" w:color="auto"/>
      </w:divBdr>
    </w:div>
    <w:div w:id="692341259">
      <w:bodyDiv w:val="1"/>
      <w:marLeft w:val="0"/>
      <w:marRight w:val="0"/>
      <w:marTop w:val="0"/>
      <w:marBottom w:val="0"/>
      <w:divBdr>
        <w:top w:val="none" w:sz="0" w:space="0" w:color="auto"/>
        <w:left w:val="none" w:sz="0" w:space="0" w:color="auto"/>
        <w:bottom w:val="none" w:sz="0" w:space="0" w:color="auto"/>
        <w:right w:val="none" w:sz="0" w:space="0" w:color="auto"/>
      </w:divBdr>
    </w:div>
    <w:div w:id="699480352">
      <w:bodyDiv w:val="1"/>
      <w:marLeft w:val="0"/>
      <w:marRight w:val="0"/>
      <w:marTop w:val="0"/>
      <w:marBottom w:val="0"/>
      <w:divBdr>
        <w:top w:val="none" w:sz="0" w:space="0" w:color="auto"/>
        <w:left w:val="none" w:sz="0" w:space="0" w:color="auto"/>
        <w:bottom w:val="none" w:sz="0" w:space="0" w:color="auto"/>
        <w:right w:val="none" w:sz="0" w:space="0" w:color="auto"/>
      </w:divBdr>
    </w:div>
    <w:div w:id="801852580">
      <w:bodyDiv w:val="1"/>
      <w:marLeft w:val="0"/>
      <w:marRight w:val="0"/>
      <w:marTop w:val="0"/>
      <w:marBottom w:val="0"/>
      <w:divBdr>
        <w:top w:val="none" w:sz="0" w:space="0" w:color="auto"/>
        <w:left w:val="none" w:sz="0" w:space="0" w:color="auto"/>
        <w:bottom w:val="none" w:sz="0" w:space="0" w:color="auto"/>
        <w:right w:val="none" w:sz="0" w:space="0" w:color="auto"/>
      </w:divBdr>
    </w:div>
    <w:div w:id="816067767">
      <w:bodyDiv w:val="1"/>
      <w:marLeft w:val="0"/>
      <w:marRight w:val="0"/>
      <w:marTop w:val="0"/>
      <w:marBottom w:val="0"/>
      <w:divBdr>
        <w:top w:val="none" w:sz="0" w:space="0" w:color="auto"/>
        <w:left w:val="none" w:sz="0" w:space="0" w:color="auto"/>
        <w:bottom w:val="none" w:sz="0" w:space="0" w:color="auto"/>
        <w:right w:val="none" w:sz="0" w:space="0" w:color="auto"/>
      </w:divBdr>
      <w:divsChild>
        <w:div w:id="1840268551">
          <w:marLeft w:val="0"/>
          <w:marRight w:val="0"/>
          <w:marTop w:val="150"/>
          <w:marBottom w:val="150"/>
          <w:divBdr>
            <w:top w:val="none" w:sz="0" w:space="0" w:color="auto"/>
            <w:left w:val="none" w:sz="0" w:space="0" w:color="auto"/>
            <w:bottom w:val="none" w:sz="0" w:space="0" w:color="auto"/>
            <w:right w:val="none" w:sz="0" w:space="0" w:color="auto"/>
          </w:divBdr>
        </w:div>
      </w:divsChild>
    </w:div>
    <w:div w:id="821853932">
      <w:bodyDiv w:val="1"/>
      <w:marLeft w:val="0"/>
      <w:marRight w:val="0"/>
      <w:marTop w:val="0"/>
      <w:marBottom w:val="0"/>
      <w:divBdr>
        <w:top w:val="none" w:sz="0" w:space="0" w:color="auto"/>
        <w:left w:val="none" w:sz="0" w:space="0" w:color="auto"/>
        <w:bottom w:val="none" w:sz="0" w:space="0" w:color="auto"/>
        <w:right w:val="none" w:sz="0" w:space="0" w:color="auto"/>
      </w:divBdr>
    </w:div>
    <w:div w:id="861628585">
      <w:bodyDiv w:val="1"/>
      <w:marLeft w:val="0"/>
      <w:marRight w:val="0"/>
      <w:marTop w:val="0"/>
      <w:marBottom w:val="0"/>
      <w:divBdr>
        <w:top w:val="none" w:sz="0" w:space="0" w:color="auto"/>
        <w:left w:val="none" w:sz="0" w:space="0" w:color="auto"/>
        <w:bottom w:val="none" w:sz="0" w:space="0" w:color="auto"/>
        <w:right w:val="none" w:sz="0" w:space="0" w:color="auto"/>
      </w:divBdr>
    </w:div>
    <w:div w:id="955675989">
      <w:bodyDiv w:val="1"/>
      <w:marLeft w:val="0"/>
      <w:marRight w:val="0"/>
      <w:marTop w:val="0"/>
      <w:marBottom w:val="0"/>
      <w:divBdr>
        <w:top w:val="none" w:sz="0" w:space="0" w:color="auto"/>
        <w:left w:val="none" w:sz="0" w:space="0" w:color="auto"/>
        <w:bottom w:val="none" w:sz="0" w:space="0" w:color="auto"/>
        <w:right w:val="none" w:sz="0" w:space="0" w:color="auto"/>
      </w:divBdr>
    </w:div>
    <w:div w:id="967129884">
      <w:bodyDiv w:val="1"/>
      <w:marLeft w:val="0"/>
      <w:marRight w:val="0"/>
      <w:marTop w:val="0"/>
      <w:marBottom w:val="0"/>
      <w:divBdr>
        <w:top w:val="none" w:sz="0" w:space="0" w:color="auto"/>
        <w:left w:val="none" w:sz="0" w:space="0" w:color="auto"/>
        <w:bottom w:val="none" w:sz="0" w:space="0" w:color="auto"/>
        <w:right w:val="none" w:sz="0" w:space="0" w:color="auto"/>
      </w:divBdr>
    </w:div>
    <w:div w:id="1088505578">
      <w:bodyDiv w:val="1"/>
      <w:marLeft w:val="0"/>
      <w:marRight w:val="0"/>
      <w:marTop w:val="0"/>
      <w:marBottom w:val="0"/>
      <w:divBdr>
        <w:top w:val="none" w:sz="0" w:space="0" w:color="auto"/>
        <w:left w:val="none" w:sz="0" w:space="0" w:color="auto"/>
        <w:bottom w:val="none" w:sz="0" w:space="0" w:color="auto"/>
        <w:right w:val="none" w:sz="0" w:space="0" w:color="auto"/>
      </w:divBdr>
    </w:div>
    <w:div w:id="1315992988">
      <w:bodyDiv w:val="1"/>
      <w:marLeft w:val="0"/>
      <w:marRight w:val="0"/>
      <w:marTop w:val="0"/>
      <w:marBottom w:val="0"/>
      <w:divBdr>
        <w:top w:val="none" w:sz="0" w:space="0" w:color="auto"/>
        <w:left w:val="none" w:sz="0" w:space="0" w:color="auto"/>
        <w:bottom w:val="none" w:sz="0" w:space="0" w:color="auto"/>
        <w:right w:val="none" w:sz="0" w:space="0" w:color="auto"/>
      </w:divBdr>
    </w:div>
    <w:div w:id="1334840572">
      <w:bodyDiv w:val="1"/>
      <w:marLeft w:val="0"/>
      <w:marRight w:val="0"/>
      <w:marTop w:val="0"/>
      <w:marBottom w:val="0"/>
      <w:divBdr>
        <w:top w:val="none" w:sz="0" w:space="0" w:color="auto"/>
        <w:left w:val="none" w:sz="0" w:space="0" w:color="auto"/>
        <w:bottom w:val="none" w:sz="0" w:space="0" w:color="auto"/>
        <w:right w:val="none" w:sz="0" w:space="0" w:color="auto"/>
      </w:divBdr>
    </w:div>
    <w:div w:id="1343124401">
      <w:bodyDiv w:val="1"/>
      <w:marLeft w:val="0"/>
      <w:marRight w:val="0"/>
      <w:marTop w:val="0"/>
      <w:marBottom w:val="0"/>
      <w:divBdr>
        <w:top w:val="none" w:sz="0" w:space="0" w:color="auto"/>
        <w:left w:val="none" w:sz="0" w:space="0" w:color="auto"/>
        <w:bottom w:val="none" w:sz="0" w:space="0" w:color="auto"/>
        <w:right w:val="none" w:sz="0" w:space="0" w:color="auto"/>
      </w:divBdr>
    </w:div>
    <w:div w:id="1468400041">
      <w:bodyDiv w:val="1"/>
      <w:marLeft w:val="0"/>
      <w:marRight w:val="0"/>
      <w:marTop w:val="0"/>
      <w:marBottom w:val="0"/>
      <w:divBdr>
        <w:top w:val="none" w:sz="0" w:space="0" w:color="auto"/>
        <w:left w:val="none" w:sz="0" w:space="0" w:color="auto"/>
        <w:bottom w:val="none" w:sz="0" w:space="0" w:color="auto"/>
        <w:right w:val="none" w:sz="0" w:space="0" w:color="auto"/>
      </w:divBdr>
      <w:divsChild>
        <w:div w:id="83188227">
          <w:marLeft w:val="0"/>
          <w:marRight w:val="0"/>
          <w:marTop w:val="0"/>
          <w:marBottom w:val="150"/>
          <w:divBdr>
            <w:top w:val="none" w:sz="0" w:space="0" w:color="auto"/>
            <w:left w:val="none" w:sz="0" w:space="0" w:color="auto"/>
            <w:bottom w:val="none" w:sz="0" w:space="0" w:color="auto"/>
            <w:right w:val="none" w:sz="0" w:space="0" w:color="auto"/>
          </w:divBdr>
        </w:div>
      </w:divsChild>
    </w:div>
    <w:div w:id="1565414556">
      <w:bodyDiv w:val="1"/>
      <w:marLeft w:val="0"/>
      <w:marRight w:val="0"/>
      <w:marTop w:val="0"/>
      <w:marBottom w:val="0"/>
      <w:divBdr>
        <w:top w:val="none" w:sz="0" w:space="0" w:color="auto"/>
        <w:left w:val="none" w:sz="0" w:space="0" w:color="auto"/>
        <w:bottom w:val="none" w:sz="0" w:space="0" w:color="auto"/>
        <w:right w:val="none" w:sz="0" w:space="0" w:color="auto"/>
      </w:divBdr>
    </w:div>
    <w:div w:id="1596938816">
      <w:bodyDiv w:val="1"/>
      <w:marLeft w:val="0"/>
      <w:marRight w:val="0"/>
      <w:marTop w:val="0"/>
      <w:marBottom w:val="0"/>
      <w:divBdr>
        <w:top w:val="none" w:sz="0" w:space="0" w:color="auto"/>
        <w:left w:val="none" w:sz="0" w:space="0" w:color="auto"/>
        <w:bottom w:val="none" w:sz="0" w:space="0" w:color="auto"/>
        <w:right w:val="none" w:sz="0" w:space="0" w:color="auto"/>
      </w:divBdr>
    </w:div>
    <w:div w:id="1756516854">
      <w:bodyDiv w:val="1"/>
      <w:marLeft w:val="0"/>
      <w:marRight w:val="0"/>
      <w:marTop w:val="0"/>
      <w:marBottom w:val="0"/>
      <w:divBdr>
        <w:top w:val="none" w:sz="0" w:space="0" w:color="auto"/>
        <w:left w:val="none" w:sz="0" w:space="0" w:color="auto"/>
        <w:bottom w:val="none" w:sz="0" w:space="0" w:color="auto"/>
        <w:right w:val="none" w:sz="0" w:space="0" w:color="auto"/>
      </w:divBdr>
    </w:div>
    <w:div w:id="1793787479">
      <w:bodyDiv w:val="1"/>
      <w:marLeft w:val="0"/>
      <w:marRight w:val="0"/>
      <w:marTop w:val="0"/>
      <w:marBottom w:val="0"/>
      <w:divBdr>
        <w:top w:val="none" w:sz="0" w:space="0" w:color="auto"/>
        <w:left w:val="none" w:sz="0" w:space="0" w:color="auto"/>
        <w:bottom w:val="none" w:sz="0" w:space="0" w:color="auto"/>
        <w:right w:val="none" w:sz="0" w:space="0" w:color="auto"/>
      </w:divBdr>
    </w:div>
    <w:div w:id="1927179534">
      <w:bodyDiv w:val="1"/>
      <w:marLeft w:val="0"/>
      <w:marRight w:val="0"/>
      <w:marTop w:val="0"/>
      <w:marBottom w:val="0"/>
      <w:divBdr>
        <w:top w:val="none" w:sz="0" w:space="0" w:color="auto"/>
        <w:left w:val="none" w:sz="0" w:space="0" w:color="auto"/>
        <w:bottom w:val="none" w:sz="0" w:space="0" w:color="auto"/>
        <w:right w:val="none" w:sz="0" w:space="0" w:color="auto"/>
      </w:divBdr>
    </w:div>
    <w:div w:id="1947762085">
      <w:bodyDiv w:val="1"/>
      <w:marLeft w:val="0"/>
      <w:marRight w:val="0"/>
      <w:marTop w:val="0"/>
      <w:marBottom w:val="0"/>
      <w:divBdr>
        <w:top w:val="none" w:sz="0" w:space="0" w:color="auto"/>
        <w:left w:val="none" w:sz="0" w:space="0" w:color="auto"/>
        <w:bottom w:val="none" w:sz="0" w:space="0" w:color="auto"/>
        <w:right w:val="none" w:sz="0" w:space="0" w:color="auto"/>
      </w:divBdr>
    </w:div>
    <w:div w:id="1994916003">
      <w:bodyDiv w:val="1"/>
      <w:marLeft w:val="0"/>
      <w:marRight w:val="0"/>
      <w:marTop w:val="0"/>
      <w:marBottom w:val="0"/>
      <w:divBdr>
        <w:top w:val="none" w:sz="0" w:space="0" w:color="auto"/>
        <w:left w:val="none" w:sz="0" w:space="0" w:color="auto"/>
        <w:bottom w:val="none" w:sz="0" w:space="0" w:color="auto"/>
        <w:right w:val="none" w:sz="0" w:space="0" w:color="auto"/>
      </w:divBdr>
    </w:div>
    <w:div w:id="2001542337">
      <w:bodyDiv w:val="1"/>
      <w:marLeft w:val="0"/>
      <w:marRight w:val="0"/>
      <w:marTop w:val="0"/>
      <w:marBottom w:val="0"/>
      <w:divBdr>
        <w:top w:val="none" w:sz="0" w:space="0" w:color="auto"/>
        <w:left w:val="none" w:sz="0" w:space="0" w:color="auto"/>
        <w:bottom w:val="none" w:sz="0" w:space="0" w:color="auto"/>
        <w:right w:val="none" w:sz="0" w:space="0" w:color="auto"/>
      </w:divBdr>
      <w:divsChild>
        <w:div w:id="417361794">
          <w:marLeft w:val="0"/>
          <w:marRight w:val="0"/>
          <w:marTop w:val="0"/>
          <w:marBottom w:val="150"/>
          <w:divBdr>
            <w:top w:val="none" w:sz="0" w:space="0" w:color="auto"/>
            <w:left w:val="none" w:sz="0" w:space="0" w:color="auto"/>
            <w:bottom w:val="none" w:sz="0" w:space="0" w:color="auto"/>
            <w:right w:val="none" w:sz="0" w:space="0" w:color="auto"/>
          </w:divBdr>
        </w:div>
      </w:divsChild>
    </w:div>
    <w:div w:id="203175838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 w:id="2070954406">
      <w:bodyDiv w:val="1"/>
      <w:marLeft w:val="0"/>
      <w:marRight w:val="0"/>
      <w:marTop w:val="0"/>
      <w:marBottom w:val="0"/>
      <w:divBdr>
        <w:top w:val="none" w:sz="0" w:space="0" w:color="auto"/>
        <w:left w:val="none" w:sz="0" w:space="0" w:color="auto"/>
        <w:bottom w:val="none" w:sz="0" w:space="0" w:color="auto"/>
        <w:right w:val="none" w:sz="0" w:space="0" w:color="auto"/>
      </w:divBdr>
    </w:div>
    <w:div w:id="2075424613">
      <w:bodyDiv w:val="1"/>
      <w:marLeft w:val="0"/>
      <w:marRight w:val="0"/>
      <w:marTop w:val="0"/>
      <w:marBottom w:val="0"/>
      <w:divBdr>
        <w:top w:val="none" w:sz="0" w:space="0" w:color="auto"/>
        <w:left w:val="none" w:sz="0" w:space="0" w:color="auto"/>
        <w:bottom w:val="none" w:sz="0" w:space="0" w:color="auto"/>
        <w:right w:val="none" w:sz="0" w:space="0" w:color="auto"/>
      </w:divBdr>
    </w:div>
    <w:div w:id="214689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zakon.rada.gov.ua/laws/show/2664-14"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6DF0FAF8AC25144A9446BCD0C8179391" ma:contentTypeVersion="0" ma:contentTypeDescription="Створення нового документа." ma:contentTypeScope="" ma:versionID="b74dfaa0f82dc3a7c6a279bdfea1e08b">
  <xsd:schema xmlns:xsd="http://www.w3.org/2001/XMLSchema" xmlns:xs="http://www.w3.org/2001/XMLSchema" xmlns:p="http://schemas.microsoft.com/office/2006/metadata/properties" targetNamespace="http://schemas.microsoft.com/office/2006/metadata/properties" ma:root="true" ma:fieldsID="5560886d27b95c08c2d364653e3eef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8BFC09-B8D8-497B-8FFA-44EDB2C914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0AEB25A4-237C-447F-9A5B-F2D81D6F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A465ACA-2ED1-4BE1-8952-2E312B89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11869</Words>
  <Characters>6766</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Жигінас Владислав Васильович</cp:lastModifiedBy>
  <cp:revision>3</cp:revision>
  <cp:lastPrinted>2023-04-20T08:31:00Z</cp:lastPrinted>
  <dcterms:created xsi:type="dcterms:W3CDTF">2023-10-25T08:47:00Z</dcterms:created>
  <dcterms:modified xsi:type="dcterms:W3CDTF">2023-10-25T08:48:00Z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Bank of Ukraine</vt:lpwstr>
  </property>
  <property fmtid="{D5CDD505-2E9C-101B-9397-08002B2CF9AE}" pid="4" name="ContentTypeId">
    <vt:lpwstr>0x0101006DF0FAF8AC25144A9446BCD0C8179391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sMyDocuments">
    <vt:bool>true</vt:bool>
  </property>
</Properties>
</file>