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85F9F" w14:textId="77777777" w:rsidR="00B930E3" w:rsidRPr="00B930E3" w:rsidRDefault="00B930E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14:paraId="13385FA3" w14:textId="77777777" w:rsidTr="00B930E3">
        <w:trPr>
          <w:trHeight w:val="851"/>
        </w:trPr>
        <w:tc>
          <w:tcPr>
            <w:tcW w:w="3207" w:type="dxa"/>
          </w:tcPr>
          <w:p w14:paraId="13385FA0" w14:textId="77777777" w:rsidR="00410EC0" w:rsidRDefault="00410EC0" w:rsidP="000F60CD"/>
        </w:tc>
        <w:tc>
          <w:tcPr>
            <w:tcW w:w="3227" w:type="dxa"/>
            <w:vMerge w:val="restart"/>
          </w:tcPr>
          <w:p w14:paraId="13385FA1" w14:textId="77777777" w:rsidR="00410EC0" w:rsidRDefault="00410EC0" w:rsidP="000F60CD">
            <w:pPr>
              <w:jc w:val="center"/>
            </w:pPr>
            <w:r>
              <w:object w:dxaOrig="1595" w:dyaOrig="2201" w14:anchorId="1338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5pt;height:48pt" o:ole="">
                  <v:imagedata r:id="rId11" o:title=""/>
                </v:shape>
                <o:OLEObject Type="Embed" ProgID="CorelDraw.Graphic.16" ShapeID="_x0000_i1025" DrawAspect="Content" ObjectID="_1814357142" r:id="rId12"/>
              </w:object>
            </w:r>
          </w:p>
        </w:tc>
        <w:tc>
          <w:tcPr>
            <w:tcW w:w="3204" w:type="dxa"/>
          </w:tcPr>
          <w:p w14:paraId="13385FA2" w14:textId="19600D42" w:rsidR="00410EC0" w:rsidRDefault="00A93D3F" w:rsidP="00A93D3F">
            <w:pPr>
              <w:jc w:val="right"/>
            </w:pPr>
            <w:bookmarkStart w:id="0" w:name="_GoBack"/>
            <w:bookmarkEnd w:id="0"/>
            <w:r>
              <w:t>ПРОЄКТ</w:t>
            </w:r>
          </w:p>
        </w:tc>
      </w:tr>
      <w:tr w:rsidR="00410EC0" w14:paraId="13385FA7" w14:textId="77777777" w:rsidTr="00B930E3">
        <w:tc>
          <w:tcPr>
            <w:tcW w:w="3207" w:type="dxa"/>
          </w:tcPr>
          <w:p w14:paraId="13385FA4" w14:textId="77777777" w:rsidR="00410EC0" w:rsidRDefault="00410EC0" w:rsidP="000F60CD"/>
        </w:tc>
        <w:tc>
          <w:tcPr>
            <w:tcW w:w="3227" w:type="dxa"/>
            <w:vMerge/>
          </w:tcPr>
          <w:p w14:paraId="13385FA5" w14:textId="77777777" w:rsidR="00410EC0" w:rsidRDefault="00410EC0" w:rsidP="000F60CD"/>
        </w:tc>
        <w:tc>
          <w:tcPr>
            <w:tcW w:w="3204" w:type="dxa"/>
          </w:tcPr>
          <w:p w14:paraId="13385FA6" w14:textId="77777777" w:rsidR="00410EC0" w:rsidRDefault="00410EC0" w:rsidP="000F60CD"/>
        </w:tc>
      </w:tr>
      <w:tr w:rsidR="00410EC0" w14:paraId="13385FAA" w14:textId="77777777" w:rsidTr="00B930E3">
        <w:tc>
          <w:tcPr>
            <w:tcW w:w="9638" w:type="dxa"/>
            <w:gridSpan w:val="3"/>
          </w:tcPr>
          <w:p w14:paraId="13385FA8" w14:textId="77777777" w:rsidR="00410EC0" w:rsidRPr="00E10F0A" w:rsidRDefault="00410EC0" w:rsidP="000F60CD">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13385FA9" w14:textId="77777777" w:rsidR="00410EC0" w:rsidRDefault="00410EC0" w:rsidP="000F60CD">
            <w:pPr>
              <w:jc w:val="center"/>
            </w:pPr>
            <w:r w:rsidRPr="00E10F0A">
              <w:rPr>
                <w:b/>
                <w:bCs/>
                <w:color w:val="006600"/>
                <w:sz w:val="32"/>
                <w:szCs w:val="32"/>
              </w:rPr>
              <w:t>П О С Т А Н О В А</w:t>
            </w:r>
          </w:p>
        </w:tc>
      </w:tr>
    </w:tbl>
    <w:p w14:paraId="13385FAB" w14:textId="77777777" w:rsidR="00410EC0" w:rsidRPr="00566BA2"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14:paraId="13385FB0" w14:textId="77777777" w:rsidTr="000F60CD">
        <w:tc>
          <w:tcPr>
            <w:tcW w:w="3510" w:type="dxa"/>
            <w:vAlign w:val="bottom"/>
          </w:tcPr>
          <w:p w14:paraId="13385FAC" w14:textId="77777777" w:rsidR="00410EC0" w:rsidRPr="00566BA2" w:rsidRDefault="00410EC0" w:rsidP="000F60CD"/>
        </w:tc>
        <w:tc>
          <w:tcPr>
            <w:tcW w:w="2694" w:type="dxa"/>
          </w:tcPr>
          <w:p w14:paraId="13385FAD" w14:textId="0180EBB3" w:rsidR="00410EC0" w:rsidRDefault="00BF0770" w:rsidP="000F60CD">
            <w:pPr>
              <w:spacing w:before="240"/>
              <w:jc w:val="center"/>
            </w:pPr>
            <w:r w:rsidRPr="009B7F4D">
              <w:rPr>
                <w:color w:val="006600"/>
                <w:lang w:val="ru-RU"/>
              </w:rPr>
              <w:t xml:space="preserve"> </w:t>
            </w:r>
            <w:r w:rsidR="00410EC0" w:rsidRPr="00E10F0A">
              <w:rPr>
                <w:color w:val="006600"/>
              </w:rPr>
              <w:t>Київ</w:t>
            </w:r>
          </w:p>
        </w:tc>
        <w:tc>
          <w:tcPr>
            <w:tcW w:w="1713" w:type="dxa"/>
            <w:vAlign w:val="bottom"/>
          </w:tcPr>
          <w:p w14:paraId="13385FAE" w14:textId="77777777" w:rsidR="00410EC0" w:rsidRPr="00101D5A" w:rsidRDefault="00410EC0" w:rsidP="000F60CD">
            <w:pPr>
              <w:jc w:val="right"/>
            </w:pPr>
            <w:r w:rsidRPr="00101D5A">
              <w:rPr>
                <w:color w:val="FFFFFF" w:themeColor="background1"/>
              </w:rPr>
              <w:t>№</w:t>
            </w:r>
          </w:p>
        </w:tc>
        <w:tc>
          <w:tcPr>
            <w:tcW w:w="1937" w:type="dxa"/>
            <w:vAlign w:val="bottom"/>
          </w:tcPr>
          <w:p w14:paraId="13385FAF" w14:textId="77777777" w:rsidR="00410EC0" w:rsidRDefault="00410EC0" w:rsidP="000F60CD">
            <w:pPr>
              <w:jc w:val="left"/>
            </w:pPr>
          </w:p>
        </w:tc>
      </w:tr>
    </w:tbl>
    <w:p w14:paraId="13385FB1" w14:textId="77777777" w:rsidR="00410EC0" w:rsidRPr="00CD0CD4" w:rsidRDefault="00410EC0" w:rsidP="00410EC0">
      <w:pPr>
        <w:rPr>
          <w:sz w:val="2"/>
          <w:szCs w:val="2"/>
        </w:rPr>
      </w:pPr>
    </w:p>
    <w:p w14:paraId="13385FB2" w14:textId="77777777" w:rsidR="00410EC0" w:rsidRPr="00CD0CD4" w:rsidRDefault="00410EC0" w:rsidP="00410EC0">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410EC0" w:rsidRPr="00CD0CD4" w14:paraId="13385FB4" w14:textId="77777777" w:rsidTr="000F60CD">
        <w:trPr>
          <w:jc w:val="center"/>
        </w:trPr>
        <w:tc>
          <w:tcPr>
            <w:tcW w:w="5000" w:type="pct"/>
          </w:tcPr>
          <w:p w14:paraId="13385FB3" w14:textId="68635EA4" w:rsidR="00410EC0" w:rsidRPr="00CD0CD4" w:rsidRDefault="00EC2B1A" w:rsidP="000F60CD">
            <w:pPr>
              <w:tabs>
                <w:tab w:val="left" w:pos="840"/>
                <w:tab w:val="center" w:pos="3293"/>
              </w:tabs>
              <w:spacing w:before="240" w:after="240"/>
              <w:jc w:val="center"/>
              <w:rPr>
                <w:rFonts w:eastAsiaTheme="minorEastAsia"/>
                <w:color w:val="000000" w:themeColor="text1"/>
                <w:lang w:eastAsia="en-US"/>
              </w:rPr>
            </w:pPr>
            <w:r w:rsidRPr="00EC2B1A">
              <w:rPr>
                <w:rFonts w:eastAsiaTheme="minorEastAsia"/>
                <w:color w:val="000000" w:themeColor="text1"/>
                <w:lang w:eastAsia="en-US"/>
              </w:rPr>
              <w:t>Про затвердження Змін до Положення про вимоги до системи корпоративного управління та системи внутрішнього контролю фінансової компанії</w:t>
            </w:r>
          </w:p>
        </w:tc>
      </w:tr>
    </w:tbl>
    <w:p w14:paraId="13385FB5" w14:textId="69E5BCE1" w:rsidR="00410EC0" w:rsidRDefault="00EC2B1A" w:rsidP="00410EC0">
      <w:pPr>
        <w:spacing w:before="240" w:after="240"/>
        <w:ind w:firstLine="567"/>
        <w:rPr>
          <w:b/>
        </w:rPr>
      </w:pPr>
      <w:r w:rsidRPr="00EC2B1A">
        <w:rPr>
          <w:rFonts w:eastAsiaTheme="minorEastAsia"/>
          <w:color w:val="000000" w:themeColor="text1"/>
          <w:lang w:eastAsia="en-US"/>
        </w:rPr>
        <w:t>Відповідно до статей 7, 15, 551, 56 Закону України “Про Національний банк України”, статей 21, 23, 41</w:t>
      </w:r>
      <w:r>
        <w:rPr>
          <w:rFonts w:eastAsiaTheme="minorEastAsia"/>
          <w:color w:val="000000" w:themeColor="text1"/>
          <w:lang w:eastAsia="en-US"/>
        </w:rPr>
        <w:t xml:space="preserve"> </w:t>
      </w:r>
      <w:r w:rsidRPr="00EC2B1A">
        <w:rPr>
          <w:rFonts w:eastAsiaTheme="minorEastAsia"/>
          <w:color w:val="000000" w:themeColor="text1"/>
          <w:lang w:eastAsia="en-US"/>
        </w:rPr>
        <w:t>Закону України “Про фінансові послуги та фінансові компанії”, з метою встановлення додаткових вимог до системи корпоративного управління та системи внутрішнього контролю фінансових компаній, яких було визнано значимими Національним банком України, державне регулювання та нагляд за діяльністю яких здійснює Національний банк України,</w:t>
      </w:r>
      <w:r w:rsidR="00410EC0" w:rsidRPr="00CD0CD4">
        <w:rPr>
          <w:b/>
        </w:rPr>
        <w:t xml:space="preserve"> </w:t>
      </w:r>
      <w:r w:rsidR="00410EC0" w:rsidRPr="00CD0CD4">
        <w:t>Правління Національного банку України</w:t>
      </w:r>
      <w:r w:rsidR="00410EC0" w:rsidRPr="00CD0CD4">
        <w:rPr>
          <w:b/>
        </w:rPr>
        <w:t xml:space="preserve"> постановляє:</w:t>
      </w:r>
    </w:p>
    <w:p w14:paraId="6F4E66BA" w14:textId="0DA848F2" w:rsidR="00EC2B1A" w:rsidRDefault="00410EC0" w:rsidP="00EC2B1A">
      <w:pPr>
        <w:spacing w:before="240" w:after="240"/>
        <w:ind w:firstLine="567"/>
        <w:rPr>
          <w:rFonts w:eastAsiaTheme="minorEastAsia"/>
          <w:noProof/>
          <w:color w:val="000000" w:themeColor="text1"/>
          <w:lang w:eastAsia="en-US"/>
        </w:rPr>
      </w:pPr>
      <w:r w:rsidRPr="008B1589">
        <w:rPr>
          <w:lang w:val="ru-RU"/>
        </w:rPr>
        <w:t>1.</w:t>
      </w:r>
      <w:r>
        <w:rPr>
          <w:lang w:val="en-US"/>
        </w:rPr>
        <w:t> </w:t>
      </w:r>
      <w:r w:rsidR="00EC2B1A" w:rsidRPr="00EC2B1A">
        <w:rPr>
          <w:rFonts w:eastAsiaTheme="minorEastAsia"/>
          <w:noProof/>
          <w:color w:val="000000" w:themeColor="text1"/>
          <w:lang w:eastAsia="en-US"/>
        </w:rPr>
        <w:t>Затвердити Зміни до Положення про вимоги до системи корпоративного управління та системи внутрішнього контролю фінансової компанії, затвердженого постановою Правління Національного банку України від 27 грудня 2024 року №</w:t>
      </w:r>
      <w:r w:rsidR="003C357F">
        <w:rPr>
          <w:rFonts w:eastAsiaTheme="minorEastAsia"/>
          <w:noProof/>
          <w:color w:val="000000" w:themeColor="text1"/>
          <w:lang w:eastAsia="en-US"/>
        </w:rPr>
        <w:t> </w:t>
      </w:r>
      <w:r w:rsidR="00EC2B1A" w:rsidRPr="00EC2B1A">
        <w:rPr>
          <w:rFonts w:eastAsiaTheme="minorEastAsia"/>
          <w:noProof/>
          <w:color w:val="000000" w:themeColor="text1"/>
          <w:lang w:eastAsia="en-US"/>
        </w:rPr>
        <w:t>185:</w:t>
      </w:r>
    </w:p>
    <w:p w14:paraId="369922B3" w14:textId="77777777" w:rsidR="00EC2B1A" w:rsidRDefault="00EC2B1A" w:rsidP="0027493E">
      <w:pPr>
        <w:ind w:firstLine="567"/>
        <w:rPr>
          <w:rFonts w:eastAsiaTheme="minorEastAsia"/>
          <w:noProof/>
          <w:color w:val="000000" w:themeColor="text1"/>
          <w:lang w:eastAsia="en-US"/>
        </w:rPr>
      </w:pPr>
      <w:r w:rsidRPr="00EC2B1A">
        <w:rPr>
          <w:rFonts w:eastAsiaTheme="minorEastAsia"/>
          <w:noProof/>
          <w:color w:val="000000" w:themeColor="text1"/>
          <w:lang w:eastAsia="en-US"/>
        </w:rPr>
        <w:t>1) пункт 3 глави 2 розділу I після тридцятого абзацу доповнити новим тридцять першим абзацом такого змісту:</w:t>
      </w:r>
      <w:r>
        <w:rPr>
          <w:rFonts w:eastAsiaTheme="minorEastAsia"/>
          <w:noProof/>
          <w:color w:val="000000" w:themeColor="text1"/>
          <w:lang w:eastAsia="en-US"/>
        </w:rPr>
        <w:t xml:space="preserve"> </w:t>
      </w:r>
      <w:r w:rsidRPr="00EC2B1A">
        <w:rPr>
          <w:rFonts w:eastAsiaTheme="minorEastAsia"/>
          <w:noProof/>
          <w:color w:val="000000" w:themeColor="text1"/>
          <w:lang w:eastAsia="en-US"/>
        </w:rPr>
        <w:t>“Термін “значима фінансова компанія” вживається у значенні, наведеному у Положенні про критерії, за якими визначається значимість фінансової компанії, затвердженому постановою Правління Національного банку України від __ __________ 2025 року.”;</w:t>
      </w:r>
    </w:p>
    <w:p w14:paraId="46B6409A" w14:textId="13FDA656" w:rsidR="00EC2B1A" w:rsidRDefault="00EC2B1A" w:rsidP="0027493E">
      <w:pPr>
        <w:ind w:firstLine="567"/>
        <w:rPr>
          <w:rFonts w:eastAsiaTheme="minorEastAsia"/>
          <w:noProof/>
          <w:color w:val="000000" w:themeColor="text1"/>
          <w:lang w:eastAsia="en-US"/>
        </w:rPr>
      </w:pPr>
      <w:r w:rsidRPr="00EC2B1A">
        <w:rPr>
          <w:rFonts w:eastAsiaTheme="minorEastAsia"/>
          <w:noProof/>
          <w:color w:val="000000" w:themeColor="text1"/>
          <w:lang w:eastAsia="en-US"/>
        </w:rPr>
        <w:t>У зв’язку з цим абзац тридцять перший вважати абзацом тридцять другим;</w:t>
      </w:r>
    </w:p>
    <w:p w14:paraId="04E3004C" w14:textId="77777777" w:rsidR="004F1E8E" w:rsidRDefault="004F1E8E" w:rsidP="0027493E">
      <w:pPr>
        <w:ind w:firstLine="567"/>
        <w:rPr>
          <w:rFonts w:eastAsiaTheme="minorEastAsia"/>
          <w:noProof/>
          <w:color w:val="000000" w:themeColor="text1"/>
          <w:lang w:eastAsia="en-US"/>
        </w:rPr>
      </w:pPr>
    </w:p>
    <w:p w14:paraId="7EEA6A66" w14:textId="24D98A54" w:rsidR="004F1E8E" w:rsidRDefault="00EC2B1A" w:rsidP="004F1E8E">
      <w:pPr>
        <w:ind w:firstLine="567"/>
        <w:rPr>
          <w:rFonts w:eastAsiaTheme="minorEastAsia"/>
          <w:noProof/>
          <w:color w:val="000000" w:themeColor="text1"/>
          <w:lang w:eastAsia="en-US"/>
        </w:rPr>
      </w:pPr>
      <w:r w:rsidRPr="00EC2B1A">
        <w:rPr>
          <w:rFonts w:eastAsiaTheme="minorEastAsia"/>
          <w:noProof/>
          <w:color w:val="000000" w:themeColor="text1"/>
          <w:lang w:eastAsia="en-US"/>
        </w:rPr>
        <w:t>2) у главі 8 розділу IV:</w:t>
      </w:r>
    </w:p>
    <w:p w14:paraId="4A7AB062" w14:textId="59AA8CDA" w:rsidR="00EC2B1A" w:rsidRDefault="00EC2B1A" w:rsidP="00B03448">
      <w:pPr>
        <w:ind w:firstLine="567"/>
        <w:rPr>
          <w:rFonts w:eastAsiaTheme="minorEastAsia"/>
          <w:noProof/>
          <w:color w:val="000000" w:themeColor="text1"/>
          <w:lang w:eastAsia="en-US"/>
        </w:rPr>
      </w:pPr>
      <w:r w:rsidRPr="00EC2B1A">
        <w:rPr>
          <w:rFonts w:eastAsiaTheme="minorEastAsia"/>
          <w:noProof/>
          <w:color w:val="000000" w:themeColor="text1"/>
          <w:lang w:eastAsia="en-US"/>
        </w:rPr>
        <w:t>главу після пункту 47 доповнити п’ятьма новими пунктами 47</w:t>
      </w:r>
      <w:r w:rsidRPr="00EC2B1A">
        <w:rPr>
          <w:rFonts w:eastAsiaTheme="minorEastAsia"/>
          <w:noProof/>
          <w:color w:val="000000" w:themeColor="text1"/>
          <w:vertAlign w:val="superscript"/>
          <w:lang w:eastAsia="en-US"/>
        </w:rPr>
        <w:t>1</w:t>
      </w:r>
      <w:r w:rsidRPr="00EC2B1A">
        <w:rPr>
          <w:rFonts w:eastAsiaTheme="minorEastAsia"/>
          <w:noProof/>
          <w:color w:val="000000" w:themeColor="text1"/>
          <w:lang w:eastAsia="en-US"/>
        </w:rPr>
        <w:t xml:space="preserve"> - 47</w:t>
      </w:r>
      <w:r w:rsidRPr="00EC2B1A">
        <w:rPr>
          <w:rFonts w:eastAsiaTheme="minorEastAsia"/>
          <w:noProof/>
          <w:color w:val="000000" w:themeColor="text1"/>
          <w:vertAlign w:val="superscript"/>
          <w:lang w:eastAsia="en-US"/>
        </w:rPr>
        <w:t>5</w:t>
      </w:r>
      <w:r w:rsidRPr="00EC2B1A">
        <w:rPr>
          <w:rFonts w:eastAsiaTheme="minorEastAsia"/>
          <w:noProof/>
          <w:color w:val="000000" w:themeColor="text1"/>
          <w:lang w:eastAsia="en-US"/>
        </w:rPr>
        <w:t xml:space="preserve"> такого змісту:</w:t>
      </w:r>
    </w:p>
    <w:p w14:paraId="479C6CA7" w14:textId="0E416EEE" w:rsidR="00EC2B1A" w:rsidRDefault="00EC2B1A" w:rsidP="00B03448">
      <w:pPr>
        <w:ind w:firstLine="567"/>
        <w:rPr>
          <w:rFonts w:eastAsiaTheme="minorEastAsia"/>
          <w:noProof/>
          <w:color w:val="000000" w:themeColor="text1"/>
          <w:lang w:eastAsia="en-US"/>
        </w:rPr>
      </w:pPr>
      <w:r w:rsidRPr="00EC2B1A">
        <w:rPr>
          <w:rFonts w:eastAsiaTheme="minorEastAsia"/>
          <w:noProof/>
          <w:color w:val="000000" w:themeColor="text1"/>
          <w:lang w:eastAsia="en-US"/>
        </w:rPr>
        <w:t>“47</w:t>
      </w:r>
      <w:r w:rsidRPr="00EC2B1A">
        <w:rPr>
          <w:rFonts w:eastAsiaTheme="minorEastAsia"/>
          <w:noProof/>
          <w:color w:val="000000" w:themeColor="text1"/>
          <w:vertAlign w:val="superscript"/>
          <w:lang w:eastAsia="en-US"/>
        </w:rPr>
        <w:t>1</w:t>
      </w:r>
      <w:r w:rsidRPr="00EC2B1A">
        <w:rPr>
          <w:rFonts w:eastAsiaTheme="minorEastAsia"/>
          <w:noProof/>
          <w:color w:val="000000" w:themeColor="text1"/>
          <w:lang w:eastAsia="en-US"/>
        </w:rPr>
        <w:t>. Значима фінансова компанія зобов’язана щороку здійснювати самооцінку ризиків шляхом аналізу бізнес-процесів компанії з метою виявлення ризиків визначених у пунктах 40, 46 глави 8 розділу IV цього Положення, та інших видів ризиків притаманних її діяльності, визначених відповідно до пункту 47 глави 8 розділу IV цього Положення (далі</w:t>
      </w:r>
      <w:r w:rsidR="003C357F">
        <w:rPr>
          <w:rFonts w:eastAsiaTheme="minorEastAsia"/>
          <w:noProof/>
          <w:color w:val="000000" w:themeColor="text1"/>
          <w:lang w:eastAsia="en-US"/>
        </w:rPr>
        <w:t> </w:t>
      </w:r>
      <w:r w:rsidRPr="00EC2B1A">
        <w:rPr>
          <w:rFonts w:eastAsiaTheme="minorEastAsia"/>
          <w:noProof/>
          <w:color w:val="000000" w:themeColor="text1"/>
          <w:lang w:eastAsia="en-US"/>
        </w:rPr>
        <w:t>–</w:t>
      </w:r>
      <w:r w:rsidR="003C357F">
        <w:rPr>
          <w:rFonts w:eastAsiaTheme="minorEastAsia"/>
          <w:noProof/>
          <w:color w:val="000000" w:themeColor="text1"/>
          <w:lang w:eastAsia="en-US"/>
        </w:rPr>
        <w:t> </w:t>
      </w:r>
      <w:r w:rsidRPr="00EC2B1A">
        <w:rPr>
          <w:rFonts w:eastAsiaTheme="minorEastAsia"/>
          <w:noProof/>
          <w:color w:val="000000" w:themeColor="text1"/>
          <w:lang w:eastAsia="en-US"/>
        </w:rPr>
        <w:t>самооцінка ризиків).</w:t>
      </w:r>
    </w:p>
    <w:p w14:paraId="5D030034" w14:textId="77777777" w:rsidR="00EC2B1A" w:rsidRDefault="00EC2B1A" w:rsidP="00EC2B1A">
      <w:pPr>
        <w:spacing w:before="240" w:after="240"/>
        <w:ind w:firstLine="567"/>
        <w:rPr>
          <w:rFonts w:eastAsiaTheme="minorEastAsia"/>
          <w:noProof/>
          <w:color w:val="000000" w:themeColor="text1"/>
          <w:lang w:eastAsia="en-US"/>
        </w:rPr>
      </w:pPr>
      <w:r w:rsidRPr="00EC2B1A">
        <w:rPr>
          <w:rFonts w:eastAsiaTheme="minorEastAsia"/>
          <w:noProof/>
          <w:color w:val="000000" w:themeColor="text1"/>
          <w:lang w:eastAsia="en-US"/>
        </w:rPr>
        <w:lastRenderedPageBreak/>
        <w:t>47</w:t>
      </w:r>
      <w:r w:rsidRPr="00EC2B1A">
        <w:rPr>
          <w:rFonts w:eastAsiaTheme="minorEastAsia"/>
          <w:noProof/>
          <w:color w:val="000000" w:themeColor="text1"/>
          <w:vertAlign w:val="superscript"/>
          <w:lang w:eastAsia="en-US"/>
        </w:rPr>
        <w:t>2</w:t>
      </w:r>
      <w:r w:rsidRPr="00EC2B1A">
        <w:rPr>
          <w:rFonts w:eastAsiaTheme="minorEastAsia"/>
          <w:noProof/>
          <w:color w:val="000000" w:themeColor="text1"/>
          <w:lang w:eastAsia="en-US"/>
        </w:rPr>
        <w:t>. Значима фінансова компанія за результатами здійснення самооцінки ризиків забезпечує управління ризиками у відповідності до підходів з управління ризиками, встановлених у пунктах 51 - 53 глави 8 розділу IV цього Положення.</w:t>
      </w:r>
    </w:p>
    <w:p w14:paraId="09D388D7" w14:textId="77777777" w:rsidR="00EC2B1A" w:rsidRDefault="00EC2B1A" w:rsidP="00EC2B1A">
      <w:pPr>
        <w:spacing w:before="240" w:after="240"/>
        <w:ind w:firstLine="567"/>
        <w:rPr>
          <w:rFonts w:eastAsiaTheme="minorEastAsia"/>
          <w:noProof/>
          <w:color w:val="000000" w:themeColor="text1"/>
          <w:lang w:eastAsia="en-US"/>
        </w:rPr>
      </w:pPr>
      <w:r w:rsidRPr="00EC2B1A">
        <w:rPr>
          <w:rFonts w:eastAsiaTheme="minorEastAsia"/>
          <w:noProof/>
          <w:color w:val="000000" w:themeColor="text1"/>
          <w:lang w:eastAsia="en-US"/>
        </w:rPr>
        <w:t>47</w:t>
      </w:r>
      <w:r w:rsidRPr="00EC2B1A">
        <w:rPr>
          <w:rFonts w:eastAsiaTheme="minorEastAsia"/>
          <w:noProof/>
          <w:color w:val="000000" w:themeColor="text1"/>
          <w:vertAlign w:val="superscript"/>
          <w:lang w:eastAsia="en-US"/>
        </w:rPr>
        <w:t>3</w:t>
      </w:r>
      <w:r w:rsidRPr="00EC2B1A">
        <w:rPr>
          <w:rFonts w:eastAsiaTheme="minorEastAsia"/>
          <w:noProof/>
          <w:color w:val="000000" w:themeColor="text1"/>
          <w:lang w:eastAsia="en-US"/>
        </w:rPr>
        <w:t>. Головний ризик-менеджер (керівник підрозділу з управління ризиками або особа, на яку покладена функція такого підрозділу) надає звіт про результати самооцінки ризиків органу управління фінансової компанії та ключовим особам значимої фінансової компанії.</w:t>
      </w:r>
    </w:p>
    <w:p w14:paraId="6DF4A798" w14:textId="77777777" w:rsidR="00EC2B1A" w:rsidRDefault="00EC2B1A" w:rsidP="00EC2B1A">
      <w:pPr>
        <w:spacing w:before="240" w:after="240"/>
        <w:ind w:firstLine="567"/>
        <w:rPr>
          <w:rFonts w:eastAsiaTheme="minorEastAsia"/>
          <w:noProof/>
          <w:color w:val="000000" w:themeColor="text1"/>
          <w:lang w:eastAsia="en-US"/>
        </w:rPr>
      </w:pPr>
      <w:r w:rsidRPr="00EC2B1A">
        <w:rPr>
          <w:rFonts w:eastAsiaTheme="minorEastAsia"/>
          <w:noProof/>
          <w:color w:val="000000" w:themeColor="text1"/>
          <w:lang w:eastAsia="en-US"/>
        </w:rPr>
        <w:t>47</w:t>
      </w:r>
      <w:r w:rsidRPr="00EC2B1A">
        <w:rPr>
          <w:rFonts w:eastAsiaTheme="minorEastAsia"/>
          <w:noProof/>
          <w:color w:val="000000" w:themeColor="text1"/>
          <w:vertAlign w:val="superscript"/>
          <w:lang w:eastAsia="en-US"/>
        </w:rPr>
        <w:t>4</w:t>
      </w:r>
      <w:r w:rsidRPr="00EC2B1A">
        <w:rPr>
          <w:rFonts w:eastAsiaTheme="minorEastAsia"/>
          <w:noProof/>
          <w:color w:val="000000" w:themeColor="text1"/>
          <w:lang w:eastAsia="en-US"/>
        </w:rPr>
        <w:t>. Значима фінансова компанія, листом за підписом уповноваженої особи фінансової компанії, направляє копію звіту про результати самооцінки ризиків Національному банку протягом 5 робочих днів з дати складення звіту про результати самооцінки ризиків, але не пізніше 15 липня року, в якому Національний банк оприлюднив інформацію щодо визначення фінансової компанії значимою.</w:t>
      </w:r>
    </w:p>
    <w:p w14:paraId="70971658" w14:textId="324B9F08" w:rsidR="004F1E8E" w:rsidRDefault="00EC2B1A" w:rsidP="00B03448">
      <w:pPr>
        <w:ind w:firstLine="567"/>
        <w:rPr>
          <w:rFonts w:eastAsiaTheme="minorEastAsia"/>
          <w:noProof/>
          <w:color w:val="000000" w:themeColor="text1"/>
          <w:lang w:eastAsia="en-US"/>
        </w:rPr>
      </w:pPr>
      <w:r w:rsidRPr="00EC2B1A">
        <w:rPr>
          <w:rFonts w:eastAsiaTheme="minorEastAsia"/>
          <w:noProof/>
          <w:color w:val="000000" w:themeColor="text1"/>
          <w:lang w:eastAsia="en-US"/>
        </w:rPr>
        <w:t>47</w:t>
      </w:r>
      <w:r w:rsidRPr="00EC2B1A">
        <w:rPr>
          <w:rFonts w:eastAsiaTheme="minorEastAsia"/>
          <w:noProof/>
          <w:color w:val="000000" w:themeColor="text1"/>
          <w:vertAlign w:val="superscript"/>
          <w:lang w:eastAsia="en-US"/>
        </w:rPr>
        <w:t>5</w:t>
      </w:r>
      <w:r w:rsidRPr="00EC2B1A">
        <w:rPr>
          <w:rFonts w:eastAsiaTheme="minorEastAsia"/>
          <w:noProof/>
          <w:color w:val="000000" w:themeColor="text1"/>
          <w:lang w:eastAsia="en-US"/>
        </w:rPr>
        <w:t>. Значима фінансова компанія вносить зміни у внутрішні документи з питань організації системи внутрішнього контролю на підставі рішень органу управління, за результатами самооцінки ризиків.”;</w:t>
      </w:r>
    </w:p>
    <w:p w14:paraId="13385FB6" w14:textId="2CAD3B45" w:rsidR="00410EC0" w:rsidRDefault="00EC2B1A" w:rsidP="00B03448">
      <w:pPr>
        <w:ind w:firstLine="567"/>
        <w:rPr>
          <w:rFonts w:eastAsiaTheme="minorEastAsia"/>
          <w:noProof/>
          <w:color w:val="000000" w:themeColor="text1"/>
          <w:lang w:eastAsia="en-US"/>
        </w:rPr>
      </w:pPr>
      <w:r w:rsidRPr="00EC2B1A">
        <w:rPr>
          <w:rFonts w:eastAsiaTheme="minorEastAsia"/>
          <w:noProof/>
          <w:color w:val="000000" w:themeColor="text1"/>
          <w:lang w:eastAsia="en-US"/>
        </w:rPr>
        <w:t>перше речення пункту 54 після слів “загальну оцінку ризиків” доповнити словами “самооцінку ризиків (для значимих фінансових компаній)”</w:t>
      </w:r>
      <w:r w:rsidR="00410EC0" w:rsidRPr="005632A7">
        <w:rPr>
          <w:rFonts w:eastAsiaTheme="minorEastAsia"/>
          <w:noProof/>
          <w:color w:val="000000" w:themeColor="text1"/>
          <w:lang w:eastAsia="en-US"/>
        </w:rPr>
        <w:t>.</w:t>
      </w:r>
    </w:p>
    <w:p w14:paraId="13385FB7" w14:textId="2718D1BB" w:rsidR="00410EC0" w:rsidRDefault="00410EC0" w:rsidP="00410EC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2. </w:t>
      </w:r>
      <w:r w:rsidR="00EC2B1A" w:rsidRPr="00EC2B1A">
        <w:rPr>
          <w:rFonts w:eastAsiaTheme="minorEastAsia"/>
          <w:noProof/>
          <w:color w:val="000000" w:themeColor="text1"/>
          <w:lang w:eastAsia="en-US"/>
        </w:rPr>
        <w:t>Фінансовим компаніям, які будуть визначені Національним банком України до 31 грудня 2025 року значимими, привести свою діяльність у відповідність до вимог Положення зі змінами, внесеними цією постановою, у строк до 01 липня 2026 року.</w:t>
      </w:r>
    </w:p>
    <w:p w14:paraId="13385FB8" w14:textId="007CE3DA" w:rsidR="00410EC0" w:rsidRDefault="00410EC0" w:rsidP="00410EC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3. </w:t>
      </w:r>
      <w:r w:rsidR="00EC2B1A" w:rsidRPr="00EC2B1A">
        <w:rPr>
          <w:rFonts w:eastAsiaTheme="minorEastAsia"/>
          <w:noProof/>
          <w:color w:val="000000" w:themeColor="text1"/>
          <w:lang w:eastAsia="en-US"/>
        </w:rPr>
        <w:t>Департаменту методології регулювання діяльності небанківських фінансових установ (Сергій Савчук) довести до відома фінансових компанійиінформацію про прийняття цієї постанови.</w:t>
      </w:r>
    </w:p>
    <w:p w14:paraId="13385FBC" w14:textId="686C5086" w:rsidR="00410EC0" w:rsidRDefault="00A72446" w:rsidP="00EC2B1A">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4. </w:t>
      </w:r>
      <w:r w:rsidR="00EC2B1A" w:rsidRPr="00EC2B1A">
        <w:rPr>
          <w:rFonts w:eastAsiaTheme="minorEastAsia"/>
          <w:noProof/>
          <w:color w:val="000000" w:themeColor="text1"/>
          <w:lang w:eastAsia="en-US"/>
        </w:rPr>
        <w:t>Постанова набирає чинності з дня, наступного за днем її офіційного опублікування.</w:t>
      </w:r>
    </w:p>
    <w:p w14:paraId="13385FBE" w14:textId="77777777" w:rsidR="00410EC0" w:rsidRPr="00E52A5D" w:rsidRDefault="00410EC0" w:rsidP="00410EC0">
      <w:pPr>
        <w:spacing w:after="120"/>
        <w:rPr>
          <w:lang w:val="ru-RU"/>
        </w:rPr>
      </w:pPr>
    </w:p>
    <w:p w14:paraId="13385FBF" w14:textId="77777777" w:rsidR="00410EC0" w:rsidRPr="00CD0CD4" w:rsidRDefault="00410EC0" w:rsidP="00410EC0">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CD0CD4" w14:paraId="13385FC2" w14:textId="77777777" w:rsidTr="000F60CD">
        <w:tc>
          <w:tcPr>
            <w:tcW w:w="5387" w:type="dxa"/>
            <w:vAlign w:val="bottom"/>
          </w:tcPr>
          <w:p w14:paraId="13385FC0" w14:textId="6DD4C37E" w:rsidR="00410EC0" w:rsidRPr="00CD0CD4" w:rsidRDefault="0027493E" w:rsidP="009B7F4D">
            <w:pPr>
              <w:autoSpaceDE w:val="0"/>
              <w:autoSpaceDN w:val="0"/>
              <w:ind w:left="-111"/>
              <w:jc w:val="left"/>
            </w:pPr>
            <w:r w:rsidRPr="00E8382E">
              <w:t>Голова</w:t>
            </w:r>
          </w:p>
        </w:tc>
        <w:tc>
          <w:tcPr>
            <w:tcW w:w="4252" w:type="dxa"/>
            <w:vAlign w:val="bottom"/>
          </w:tcPr>
          <w:p w14:paraId="13385FC1" w14:textId="10DC5C99" w:rsidR="00410EC0" w:rsidRPr="00CD0CD4" w:rsidRDefault="0027493E" w:rsidP="000F60CD">
            <w:pPr>
              <w:tabs>
                <w:tab w:val="left" w:pos="7020"/>
                <w:tab w:val="left" w:pos="7200"/>
              </w:tabs>
              <w:autoSpaceDE w:val="0"/>
              <w:autoSpaceDN w:val="0"/>
              <w:ind w:left="32"/>
              <w:jc w:val="right"/>
            </w:pPr>
            <w:r w:rsidRPr="00E8382E">
              <w:t>Андрій ПИШНИЙ</w:t>
            </w:r>
          </w:p>
        </w:tc>
      </w:tr>
    </w:tbl>
    <w:p w14:paraId="13385FC3" w14:textId="77777777" w:rsidR="00410EC0" w:rsidRPr="00CD0CD4" w:rsidRDefault="00410EC0" w:rsidP="00410EC0"/>
    <w:p w14:paraId="13385FC4" w14:textId="77777777" w:rsidR="00410EC0" w:rsidRPr="00CD0CD4" w:rsidRDefault="00410EC0" w:rsidP="00410EC0"/>
    <w:p w14:paraId="13385FCE" w14:textId="4021A393" w:rsidR="00E97A59" w:rsidRPr="00205A2C" w:rsidRDefault="00410EC0" w:rsidP="0027493E">
      <w:pPr>
        <w:jc w:val="left"/>
        <w:rPr>
          <w:lang w:val="ru-RU"/>
        </w:rPr>
      </w:pPr>
      <w:r w:rsidRPr="00CD0CD4">
        <w:t>Інд.</w:t>
      </w:r>
      <w:r w:rsidRPr="00CD0CD4">
        <w:rPr>
          <w:sz w:val="22"/>
          <w:szCs w:val="22"/>
        </w:rPr>
        <w:t xml:space="preserve"> </w:t>
      </w:r>
      <w:r w:rsidR="0027493E">
        <w:t>33</w:t>
      </w:r>
    </w:p>
    <w:sectPr w:rsidR="00E97A59" w:rsidRPr="00205A2C" w:rsidSect="00B930E3">
      <w:headerReference w:type="default" r:id="rId13"/>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49723" w14:textId="77777777" w:rsidR="00DF6B09" w:rsidRDefault="00DF6B09" w:rsidP="00E53CCD">
      <w:r>
        <w:separator/>
      </w:r>
    </w:p>
  </w:endnote>
  <w:endnote w:type="continuationSeparator" w:id="0">
    <w:p w14:paraId="749D8CBE" w14:textId="77777777" w:rsidR="00DF6B09" w:rsidRDefault="00DF6B09"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8C5BA" w14:textId="77777777" w:rsidR="00DF6B09" w:rsidRDefault="00DF6B09" w:rsidP="00E53CCD">
      <w:r>
        <w:separator/>
      </w:r>
    </w:p>
  </w:footnote>
  <w:footnote w:type="continuationSeparator" w:id="0">
    <w:p w14:paraId="46992D60" w14:textId="77777777" w:rsidR="00DF6B09" w:rsidRDefault="00DF6B09"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803687"/>
      <w:docPartObj>
        <w:docPartGallery w:val="Page Numbers (Top of Page)"/>
        <w:docPartUnique/>
      </w:docPartObj>
    </w:sdtPr>
    <w:sdtEndPr/>
    <w:sdtContent>
      <w:p w14:paraId="5D02538F" w14:textId="45DE6B55" w:rsidR="00205A2C" w:rsidRDefault="00205A2C">
        <w:pPr>
          <w:pStyle w:val="a5"/>
          <w:jc w:val="center"/>
        </w:pPr>
        <w:r>
          <w:fldChar w:fldCharType="begin"/>
        </w:r>
        <w:r>
          <w:instrText>PAGE   \* MERGEFORMAT</w:instrText>
        </w:r>
        <w:r>
          <w:fldChar w:fldCharType="separate"/>
        </w:r>
        <w:r w:rsidR="00A93D3F">
          <w:rPr>
            <w:noProof/>
          </w:rPr>
          <w:t>2</w:t>
        </w:r>
        <w:r>
          <w:fldChar w:fldCharType="end"/>
        </w:r>
      </w:p>
    </w:sdtContent>
  </w:sdt>
  <w:p w14:paraId="3E0B729A" w14:textId="77777777" w:rsidR="00205A2C" w:rsidRDefault="00205A2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64FA"/>
    <w:rsid w:val="00015FDE"/>
    <w:rsid w:val="00016403"/>
    <w:rsid w:val="000378F7"/>
    <w:rsid w:val="0003793C"/>
    <w:rsid w:val="000506D8"/>
    <w:rsid w:val="00063480"/>
    <w:rsid w:val="000713E8"/>
    <w:rsid w:val="00097B89"/>
    <w:rsid w:val="000B2990"/>
    <w:rsid w:val="000B5ADB"/>
    <w:rsid w:val="000C3F58"/>
    <w:rsid w:val="000D44E2"/>
    <w:rsid w:val="000E4B44"/>
    <w:rsid w:val="000E700F"/>
    <w:rsid w:val="00100163"/>
    <w:rsid w:val="001025EF"/>
    <w:rsid w:val="00102C1C"/>
    <w:rsid w:val="001068E6"/>
    <w:rsid w:val="001652CD"/>
    <w:rsid w:val="001740C0"/>
    <w:rsid w:val="00190E1A"/>
    <w:rsid w:val="00192423"/>
    <w:rsid w:val="001A16FA"/>
    <w:rsid w:val="001A42D2"/>
    <w:rsid w:val="001D3A55"/>
    <w:rsid w:val="001D487A"/>
    <w:rsid w:val="001E2732"/>
    <w:rsid w:val="001E5DB4"/>
    <w:rsid w:val="001F591C"/>
    <w:rsid w:val="001F64D4"/>
    <w:rsid w:val="001F71E8"/>
    <w:rsid w:val="00204F22"/>
    <w:rsid w:val="00205A2C"/>
    <w:rsid w:val="00207DA9"/>
    <w:rsid w:val="0021268A"/>
    <w:rsid w:val="00233146"/>
    <w:rsid w:val="0023651D"/>
    <w:rsid w:val="00241373"/>
    <w:rsid w:val="002453A3"/>
    <w:rsid w:val="00253BF9"/>
    <w:rsid w:val="00257FAC"/>
    <w:rsid w:val="00262262"/>
    <w:rsid w:val="00264983"/>
    <w:rsid w:val="00272B80"/>
    <w:rsid w:val="0027493E"/>
    <w:rsid w:val="002846E4"/>
    <w:rsid w:val="002A172E"/>
    <w:rsid w:val="002A7DE0"/>
    <w:rsid w:val="002C677D"/>
    <w:rsid w:val="002C7B4D"/>
    <w:rsid w:val="002D171B"/>
    <w:rsid w:val="002D1790"/>
    <w:rsid w:val="002D5205"/>
    <w:rsid w:val="002D52F9"/>
    <w:rsid w:val="002E023A"/>
    <w:rsid w:val="002F33F0"/>
    <w:rsid w:val="002F660B"/>
    <w:rsid w:val="0031386A"/>
    <w:rsid w:val="0033133D"/>
    <w:rsid w:val="00356E34"/>
    <w:rsid w:val="00357676"/>
    <w:rsid w:val="00364833"/>
    <w:rsid w:val="00371783"/>
    <w:rsid w:val="0038167B"/>
    <w:rsid w:val="0038385E"/>
    <w:rsid w:val="003904D6"/>
    <w:rsid w:val="003A383B"/>
    <w:rsid w:val="003B4F96"/>
    <w:rsid w:val="003C3282"/>
    <w:rsid w:val="003C357F"/>
    <w:rsid w:val="003C3985"/>
    <w:rsid w:val="003C421E"/>
    <w:rsid w:val="003C7337"/>
    <w:rsid w:val="003D19A3"/>
    <w:rsid w:val="003F4317"/>
    <w:rsid w:val="003F5F00"/>
    <w:rsid w:val="00401EDB"/>
    <w:rsid w:val="00404C93"/>
    <w:rsid w:val="00407877"/>
    <w:rsid w:val="00410EC0"/>
    <w:rsid w:val="00410FA1"/>
    <w:rsid w:val="004318B3"/>
    <w:rsid w:val="004414F7"/>
    <w:rsid w:val="00455B45"/>
    <w:rsid w:val="00472E7B"/>
    <w:rsid w:val="00484152"/>
    <w:rsid w:val="00494BE0"/>
    <w:rsid w:val="004A7F75"/>
    <w:rsid w:val="004B4733"/>
    <w:rsid w:val="004D7E2E"/>
    <w:rsid w:val="004E0515"/>
    <w:rsid w:val="004E22E2"/>
    <w:rsid w:val="004F1E8E"/>
    <w:rsid w:val="004F5AE4"/>
    <w:rsid w:val="004F62FC"/>
    <w:rsid w:val="00523C13"/>
    <w:rsid w:val="005257C2"/>
    <w:rsid w:val="00540210"/>
    <w:rsid w:val="00542533"/>
    <w:rsid w:val="005537EC"/>
    <w:rsid w:val="005624B6"/>
    <w:rsid w:val="00563A19"/>
    <w:rsid w:val="00563AC1"/>
    <w:rsid w:val="0057237F"/>
    <w:rsid w:val="00577402"/>
    <w:rsid w:val="00591298"/>
    <w:rsid w:val="005A0F4B"/>
    <w:rsid w:val="005A1D3C"/>
    <w:rsid w:val="005A2BBA"/>
    <w:rsid w:val="005A3F34"/>
    <w:rsid w:val="005A6B99"/>
    <w:rsid w:val="005B2D03"/>
    <w:rsid w:val="005C5CBF"/>
    <w:rsid w:val="005D2F3D"/>
    <w:rsid w:val="005F6418"/>
    <w:rsid w:val="00610F11"/>
    <w:rsid w:val="0061599B"/>
    <w:rsid w:val="0063071E"/>
    <w:rsid w:val="0063271C"/>
    <w:rsid w:val="00640612"/>
    <w:rsid w:val="00653558"/>
    <w:rsid w:val="00655864"/>
    <w:rsid w:val="00670C95"/>
    <w:rsid w:val="00681460"/>
    <w:rsid w:val="00684225"/>
    <w:rsid w:val="006871CD"/>
    <w:rsid w:val="006A0AE1"/>
    <w:rsid w:val="006B2748"/>
    <w:rsid w:val="006C4176"/>
    <w:rsid w:val="006C66EF"/>
    <w:rsid w:val="006D2617"/>
    <w:rsid w:val="006E2386"/>
    <w:rsid w:val="006F3CFB"/>
    <w:rsid w:val="0070152E"/>
    <w:rsid w:val="00702896"/>
    <w:rsid w:val="0071789F"/>
    <w:rsid w:val="007476B2"/>
    <w:rsid w:val="007802D9"/>
    <w:rsid w:val="00783AF2"/>
    <w:rsid w:val="0079324A"/>
    <w:rsid w:val="007A038B"/>
    <w:rsid w:val="007A6609"/>
    <w:rsid w:val="007E2E2F"/>
    <w:rsid w:val="007F24D1"/>
    <w:rsid w:val="007F514C"/>
    <w:rsid w:val="00802988"/>
    <w:rsid w:val="008135AE"/>
    <w:rsid w:val="00834346"/>
    <w:rsid w:val="00850F68"/>
    <w:rsid w:val="008555CA"/>
    <w:rsid w:val="00866993"/>
    <w:rsid w:val="00874366"/>
    <w:rsid w:val="008A58E9"/>
    <w:rsid w:val="008A704D"/>
    <w:rsid w:val="008B014D"/>
    <w:rsid w:val="008B164A"/>
    <w:rsid w:val="008C2498"/>
    <w:rsid w:val="008D10FD"/>
    <w:rsid w:val="008D122F"/>
    <w:rsid w:val="00904F17"/>
    <w:rsid w:val="00926BDF"/>
    <w:rsid w:val="00961672"/>
    <w:rsid w:val="0097288F"/>
    <w:rsid w:val="00984B02"/>
    <w:rsid w:val="009943E9"/>
    <w:rsid w:val="00994CD4"/>
    <w:rsid w:val="00995A8D"/>
    <w:rsid w:val="009A4DE6"/>
    <w:rsid w:val="009B7F4D"/>
    <w:rsid w:val="009C717F"/>
    <w:rsid w:val="009D6D44"/>
    <w:rsid w:val="009E3454"/>
    <w:rsid w:val="009F5312"/>
    <w:rsid w:val="00A06ADB"/>
    <w:rsid w:val="00A104FB"/>
    <w:rsid w:val="00A23E04"/>
    <w:rsid w:val="00A47EF0"/>
    <w:rsid w:val="00A50DC0"/>
    <w:rsid w:val="00A51C39"/>
    <w:rsid w:val="00A708BE"/>
    <w:rsid w:val="00A72446"/>
    <w:rsid w:val="00A72F06"/>
    <w:rsid w:val="00A77FFD"/>
    <w:rsid w:val="00A93D3F"/>
    <w:rsid w:val="00AA726B"/>
    <w:rsid w:val="00AB1C0F"/>
    <w:rsid w:val="00AB28F1"/>
    <w:rsid w:val="00AC47B6"/>
    <w:rsid w:val="00AE16F0"/>
    <w:rsid w:val="00AF59AC"/>
    <w:rsid w:val="00B03448"/>
    <w:rsid w:val="00B12A6F"/>
    <w:rsid w:val="00B24F71"/>
    <w:rsid w:val="00B31892"/>
    <w:rsid w:val="00B332B2"/>
    <w:rsid w:val="00B5752E"/>
    <w:rsid w:val="00B616A5"/>
    <w:rsid w:val="00B66974"/>
    <w:rsid w:val="00B67B26"/>
    <w:rsid w:val="00B77FBC"/>
    <w:rsid w:val="00B85728"/>
    <w:rsid w:val="00B930E3"/>
    <w:rsid w:val="00BB44AB"/>
    <w:rsid w:val="00BC6419"/>
    <w:rsid w:val="00BE6C11"/>
    <w:rsid w:val="00BF052C"/>
    <w:rsid w:val="00BF0770"/>
    <w:rsid w:val="00C21D33"/>
    <w:rsid w:val="00C22D27"/>
    <w:rsid w:val="00C261F6"/>
    <w:rsid w:val="00C36ED6"/>
    <w:rsid w:val="00C41293"/>
    <w:rsid w:val="00C422E3"/>
    <w:rsid w:val="00C4377C"/>
    <w:rsid w:val="00C437A7"/>
    <w:rsid w:val="00C65DEC"/>
    <w:rsid w:val="00C763A3"/>
    <w:rsid w:val="00C80F5E"/>
    <w:rsid w:val="00C82259"/>
    <w:rsid w:val="00C831BC"/>
    <w:rsid w:val="00C8418C"/>
    <w:rsid w:val="00CD7381"/>
    <w:rsid w:val="00CE3B9F"/>
    <w:rsid w:val="00D0057B"/>
    <w:rsid w:val="00D11F25"/>
    <w:rsid w:val="00D27113"/>
    <w:rsid w:val="00D33A3D"/>
    <w:rsid w:val="00D34DCC"/>
    <w:rsid w:val="00D74DCE"/>
    <w:rsid w:val="00D842D0"/>
    <w:rsid w:val="00DC1E60"/>
    <w:rsid w:val="00DD106B"/>
    <w:rsid w:val="00DD60CC"/>
    <w:rsid w:val="00DD71CB"/>
    <w:rsid w:val="00DF6B09"/>
    <w:rsid w:val="00E33B0E"/>
    <w:rsid w:val="00E34A3F"/>
    <w:rsid w:val="00E43E79"/>
    <w:rsid w:val="00E53CB5"/>
    <w:rsid w:val="00E53CCD"/>
    <w:rsid w:val="00E8777E"/>
    <w:rsid w:val="00E97A59"/>
    <w:rsid w:val="00EA1DE4"/>
    <w:rsid w:val="00EA3A24"/>
    <w:rsid w:val="00EC2B1A"/>
    <w:rsid w:val="00ED042F"/>
    <w:rsid w:val="00ED5EF3"/>
    <w:rsid w:val="00EE3E8A"/>
    <w:rsid w:val="00F003D3"/>
    <w:rsid w:val="00F03226"/>
    <w:rsid w:val="00F03E32"/>
    <w:rsid w:val="00F31023"/>
    <w:rsid w:val="00F332C0"/>
    <w:rsid w:val="00F42E75"/>
    <w:rsid w:val="00F52D16"/>
    <w:rsid w:val="00F63BD9"/>
    <w:rsid w:val="00F6694C"/>
    <w:rsid w:val="00F96F18"/>
    <w:rsid w:val="00FA7B67"/>
    <w:rsid w:val="00FB56F1"/>
    <w:rsid w:val="00FC6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385F9F"/>
  <w15:docId w15:val="{8C7D6613-3F05-40EB-80B5-BF892857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Hyperlink"/>
    <w:basedOn w:val="a0"/>
    <w:uiPriority w:val="99"/>
    <w:unhideWhenUsed/>
    <w:rsid w:val="001D3A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bu\tech\TEMPLATES\OFFICE\00_&#1045;&#1083;&#1077;&#1082;&#1090;&#1088;&#1086;&#1085;&#1085;&#1077;%20&#1087;&#1086;&#1074;i&#1076;&#1086;&#1084;&#1083;&#1077;&#1085;&#1085;&#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39ef1bf14edd22eeaf84dad901251a2d">
  <xsd:schema xmlns:xsd="http://www.w3.org/2001/XMLSchema" xmlns:xs="http://www.w3.org/2001/XMLSchema" xmlns:p="http://schemas.microsoft.com/office/2006/metadata/properties" targetNamespace="http://schemas.microsoft.com/office/2006/metadata/properties" ma:root="true" ma:fieldsID="0b2383c722297b57df307b58b6a1f5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C5BEB2-C289-40BC-B102-27E6AE2D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5.xml><?xml version="1.0" encoding="utf-8"?>
<ds:datastoreItem xmlns:ds="http://schemas.openxmlformats.org/officeDocument/2006/customXml" ds:itemID="{523DF27F-D26E-4164-95F9-261D0AD2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00_Електронне повiдомлення.dotx</Template>
  <TotalTime>8</TotalTime>
  <Pages>2</Pages>
  <Words>2287</Words>
  <Characters>1305</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Лівшун Оксана Володимирівна</dc:creator>
  <cp:lastModifiedBy>Коломієць Інна Петрівна</cp:lastModifiedBy>
  <cp:revision>3</cp:revision>
  <cp:lastPrinted>2025-07-18T12:14:00Z</cp:lastPrinted>
  <dcterms:created xsi:type="dcterms:W3CDTF">2025-07-18T11:52:00Z</dcterms:created>
  <dcterms:modified xsi:type="dcterms:W3CDTF">2025-07-18T12:19:00Z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