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FB725" w14:textId="77777777" w:rsidR="00B930E3" w:rsidRPr="00B930E3" w:rsidRDefault="00B930E3">
      <w:pPr>
        <w:rPr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7"/>
        <w:gridCol w:w="3227"/>
        <w:gridCol w:w="3204"/>
      </w:tblGrid>
      <w:tr w:rsidR="00D472C2" w14:paraId="65688FC5" w14:textId="77777777" w:rsidTr="00367227">
        <w:trPr>
          <w:trHeight w:val="851"/>
        </w:trPr>
        <w:tc>
          <w:tcPr>
            <w:tcW w:w="3207" w:type="dxa"/>
          </w:tcPr>
          <w:p w14:paraId="6FF1DB7B" w14:textId="77777777" w:rsidR="00410EC0" w:rsidRDefault="00410EC0" w:rsidP="000F60CD"/>
        </w:tc>
        <w:tc>
          <w:tcPr>
            <w:tcW w:w="3227" w:type="dxa"/>
            <w:vMerge w:val="restart"/>
          </w:tcPr>
          <w:p w14:paraId="2C7E041B" w14:textId="77777777" w:rsidR="00410EC0" w:rsidRDefault="00BD07C2" w:rsidP="000F60CD">
            <w:pPr>
              <w:jc w:val="center"/>
            </w:pPr>
            <w:r>
              <w:object w:dxaOrig="690" w:dyaOrig="960" w14:anchorId="66A139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pt;height:47.75pt" o:ole="">
                  <v:imagedata r:id="rId12" o:title=""/>
                </v:shape>
                <o:OLEObject Type="Embed" ProgID="CorelDraw.Graphic.16" ShapeID="_x0000_i1025" DrawAspect="Content" ObjectID="_1834295472" r:id="rId13"/>
              </w:object>
            </w:r>
          </w:p>
        </w:tc>
        <w:tc>
          <w:tcPr>
            <w:tcW w:w="3204" w:type="dxa"/>
          </w:tcPr>
          <w:p w14:paraId="7970548D" w14:textId="77777777" w:rsidR="00410EC0" w:rsidRDefault="00410EC0" w:rsidP="000F60CD"/>
        </w:tc>
      </w:tr>
      <w:tr w:rsidR="00D472C2" w14:paraId="2C7D7632" w14:textId="77777777" w:rsidTr="00367227">
        <w:tc>
          <w:tcPr>
            <w:tcW w:w="3207" w:type="dxa"/>
          </w:tcPr>
          <w:p w14:paraId="77605DCB" w14:textId="77777777" w:rsidR="00410EC0" w:rsidRDefault="00410EC0" w:rsidP="000F60CD"/>
        </w:tc>
        <w:tc>
          <w:tcPr>
            <w:tcW w:w="3227" w:type="dxa"/>
            <w:vMerge/>
          </w:tcPr>
          <w:p w14:paraId="46FB1DCC" w14:textId="77777777" w:rsidR="00410EC0" w:rsidRDefault="00410EC0" w:rsidP="000F60CD"/>
        </w:tc>
        <w:tc>
          <w:tcPr>
            <w:tcW w:w="3204" w:type="dxa"/>
          </w:tcPr>
          <w:p w14:paraId="2AB2E810" w14:textId="77777777" w:rsidR="00410EC0" w:rsidRDefault="00410EC0" w:rsidP="000F60CD"/>
        </w:tc>
      </w:tr>
      <w:tr w:rsidR="00D472C2" w14:paraId="68CB5A9D" w14:textId="77777777" w:rsidTr="00367227">
        <w:tc>
          <w:tcPr>
            <w:tcW w:w="9638" w:type="dxa"/>
            <w:gridSpan w:val="3"/>
          </w:tcPr>
          <w:p w14:paraId="642C2179" w14:textId="77777777" w:rsidR="00410EC0" w:rsidRPr="00E10F0A" w:rsidRDefault="00BD07C2" w:rsidP="000F60CD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E10F0A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0C0CF979" w14:textId="77777777" w:rsidR="00410EC0" w:rsidRDefault="00BD07C2" w:rsidP="000F60CD">
            <w:pPr>
              <w:jc w:val="center"/>
            </w:pPr>
            <w:r w:rsidRPr="00E10F0A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p w14:paraId="5C603A0F" w14:textId="77777777" w:rsidR="00410EC0" w:rsidRPr="00566BA2" w:rsidRDefault="00410EC0" w:rsidP="00410EC0">
      <w:pPr>
        <w:rPr>
          <w:sz w:val="4"/>
          <w:szCs w:val="4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2635"/>
        <w:gridCol w:w="1675"/>
        <w:gridCol w:w="1895"/>
      </w:tblGrid>
      <w:tr w:rsidR="00D472C2" w14:paraId="0D549E9A" w14:textId="77777777" w:rsidTr="00367227">
        <w:tc>
          <w:tcPr>
            <w:tcW w:w="1781" w:type="pct"/>
            <w:vAlign w:val="bottom"/>
          </w:tcPr>
          <w:p w14:paraId="72A04968" w14:textId="77777777" w:rsidR="00410EC0" w:rsidRPr="00566BA2" w:rsidRDefault="00410EC0" w:rsidP="000F60CD"/>
        </w:tc>
        <w:tc>
          <w:tcPr>
            <w:tcW w:w="1367" w:type="pct"/>
          </w:tcPr>
          <w:p w14:paraId="0A2D1392" w14:textId="77777777" w:rsidR="00410EC0" w:rsidRDefault="00BD07C2" w:rsidP="000F60CD">
            <w:pPr>
              <w:spacing w:before="240"/>
              <w:jc w:val="center"/>
            </w:pPr>
            <w:r w:rsidRPr="007A6D97">
              <w:rPr>
                <w:color w:val="006600"/>
                <w:lang w:val="ru-RU"/>
              </w:rPr>
              <w:t xml:space="preserve"> </w:t>
            </w:r>
            <w:r w:rsidRPr="00E10F0A">
              <w:rPr>
                <w:color w:val="006600"/>
              </w:rPr>
              <w:t>Київ</w:t>
            </w:r>
          </w:p>
        </w:tc>
        <w:tc>
          <w:tcPr>
            <w:tcW w:w="869" w:type="pct"/>
            <w:vAlign w:val="bottom"/>
          </w:tcPr>
          <w:p w14:paraId="7E547405" w14:textId="77777777" w:rsidR="00410EC0" w:rsidRPr="00101D5A" w:rsidRDefault="00BD07C2" w:rsidP="000F60CD">
            <w:pPr>
              <w:jc w:val="right"/>
            </w:pPr>
            <w:r w:rsidRPr="00101D5A">
              <w:rPr>
                <w:color w:val="FFFFFF" w:themeColor="background1"/>
              </w:rPr>
              <w:t>№</w:t>
            </w:r>
          </w:p>
        </w:tc>
        <w:tc>
          <w:tcPr>
            <w:tcW w:w="983" w:type="pct"/>
            <w:vAlign w:val="bottom"/>
          </w:tcPr>
          <w:p w14:paraId="08F3D590" w14:textId="77777777" w:rsidR="00410EC0" w:rsidRDefault="00410EC0" w:rsidP="000F60CD">
            <w:pPr>
              <w:jc w:val="left"/>
            </w:pPr>
          </w:p>
        </w:tc>
      </w:tr>
    </w:tbl>
    <w:p w14:paraId="025530A6" w14:textId="77777777" w:rsidR="00410EC0" w:rsidRPr="00CD0CD4" w:rsidRDefault="00410EC0" w:rsidP="00410EC0">
      <w:pPr>
        <w:rPr>
          <w:sz w:val="2"/>
          <w:szCs w:val="2"/>
        </w:rPr>
      </w:pPr>
    </w:p>
    <w:p w14:paraId="1937F459" w14:textId="77777777" w:rsidR="00410EC0" w:rsidRPr="00CD0CD4" w:rsidRDefault="00410EC0" w:rsidP="00410EC0">
      <w:pPr>
        <w:ind w:firstLine="709"/>
        <w:jc w:val="center"/>
        <w:rPr>
          <w:rFonts w:eastAsiaTheme="minorEastAsia"/>
          <w:color w:val="000000" w:themeColor="text1"/>
          <w:lang w:eastAsia="en-US"/>
        </w:rPr>
      </w:pPr>
    </w:p>
    <w:tbl>
      <w:tblPr>
        <w:tblStyle w:val="a9"/>
        <w:tblW w:w="34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4"/>
      </w:tblGrid>
      <w:tr w:rsidR="00D472C2" w14:paraId="7B290E6E" w14:textId="77777777" w:rsidTr="00367227">
        <w:trPr>
          <w:jc w:val="center"/>
        </w:trPr>
        <w:tc>
          <w:tcPr>
            <w:tcW w:w="5000" w:type="pct"/>
          </w:tcPr>
          <w:p w14:paraId="12A5BBFA" w14:textId="77777777" w:rsidR="00410EC0" w:rsidRPr="00CD0CD4" w:rsidRDefault="00BB7DB8" w:rsidP="000F60CD">
            <w:pPr>
              <w:tabs>
                <w:tab w:val="left" w:pos="840"/>
                <w:tab w:val="center" w:pos="3293"/>
              </w:tabs>
              <w:spacing w:before="240" w:after="240"/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  <w:r w:rsidRPr="00BB7DB8">
              <w:rPr>
                <w:bCs/>
                <w:shd w:val="clear" w:color="auto" w:fill="FFFFFF"/>
              </w:rPr>
              <w:t>Про внесення змін до деяких нормативно-правових актів Національного банку України</w:t>
            </w:r>
          </w:p>
        </w:tc>
      </w:tr>
    </w:tbl>
    <w:p w14:paraId="711B7D08" w14:textId="77777777" w:rsidR="00410EC0" w:rsidRDefault="00BB7DB8" w:rsidP="00410EC0">
      <w:pPr>
        <w:spacing w:before="240" w:after="240"/>
        <w:ind w:firstLine="567"/>
        <w:rPr>
          <w:b/>
        </w:rPr>
      </w:pPr>
      <w:r w:rsidRPr="00DB483E">
        <w:t xml:space="preserve">Відповідно до статей 7, 15, 56, 67 Закону України “Про Національний банк України”, статті 69 Закону України “Про банки і банківську діяльність”, </w:t>
      </w:r>
      <w:r w:rsidRPr="00DB483E">
        <w:br/>
        <w:t xml:space="preserve">статей 16, 21 Закону України </w:t>
      </w:r>
      <w:r w:rsidRPr="00DB483E">
        <w:rPr>
          <w:rStyle w:val="FontStyle22"/>
          <w:rFonts w:eastAsiaTheme="minorEastAsia"/>
        </w:rPr>
        <w:t>“</w:t>
      </w:r>
      <w:r w:rsidRPr="00DB483E">
        <w:rPr>
          <w:rStyle w:val="rvts23"/>
        </w:rPr>
        <w:t>Про фінансові послуги та фінансові компанії</w:t>
      </w:r>
      <w:r w:rsidRPr="00DB483E">
        <w:rPr>
          <w:rStyle w:val="FontStyle22"/>
          <w:rFonts w:eastAsiaTheme="minorEastAsia"/>
        </w:rPr>
        <w:t>”</w:t>
      </w:r>
      <w:r w:rsidRPr="00DB483E">
        <w:t xml:space="preserve">, статті 32 Закону України “Про кредитні </w:t>
      </w:r>
      <w:proofErr w:type="spellStart"/>
      <w:r w:rsidRPr="00DB483E">
        <w:t>спілкиˮ</w:t>
      </w:r>
      <w:proofErr w:type="spellEnd"/>
      <w:r w:rsidRPr="00DB483E">
        <w:t>, з метою забезпечення виконання Національним банком України регулятивних та наглядових функцій</w:t>
      </w:r>
      <w:r w:rsidRPr="00DB483E">
        <w:rPr>
          <w:rFonts w:eastAsiaTheme="minorEastAsia"/>
          <w:noProof/>
          <w:lang w:eastAsia="en-US"/>
        </w:rPr>
        <w:t xml:space="preserve"> </w:t>
      </w:r>
      <w:r w:rsidRPr="00DB483E">
        <w:t>Правління Національного банку України</w:t>
      </w:r>
      <w:r w:rsidRPr="00DB483E">
        <w:rPr>
          <w:b/>
        </w:rPr>
        <w:t xml:space="preserve"> </w:t>
      </w:r>
      <w:r w:rsidR="00BD07C2" w:rsidRPr="00CD0CD4">
        <w:rPr>
          <w:b/>
        </w:rPr>
        <w:t>постановляє:</w:t>
      </w:r>
    </w:p>
    <w:p w14:paraId="46988B79" w14:textId="134FA26B" w:rsidR="00BB7DB8" w:rsidRPr="00954300" w:rsidRDefault="00D430DF" w:rsidP="00BB7DB8">
      <w:pPr>
        <w:pStyle w:val="af3"/>
        <w:numPr>
          <w:ilvl w:val="0"/>
          <w:numId w:val="1"/>
        </w:numPr>
        <w:tabs>
          <w:tab w:val="left" w:pos="993"/>
        </w:tabs>
        <w:ind w:left="0" w:firstLine="567"/>
        <w:contextualSpacing w:val="0"/>
        <w:rPr>
          <w:noProof/>
        </w:rPr>
      </w:pPr>
      <w:r w:rsidRPr="00815B94">
        <w:t> </w:t>
      </w:r>
      <w:proofErr w:type="spellStart"/>
      <w:r w:rsidR="00BB7DB8" w:rsidRPr="00DB483E">
        <w:rPr>
          <w:shd w:val="clear" w:color="auto" w:fill="FFFFFF"/>
        </w:rPr>
        <w:t>Унести</w:t>
      </w:r>
      <w:proofErr w:type="spellEnd"/>
      <w:r w:rsidR="00BB7DB8" w:rsidRPr="00DB483E">
        <w:rPr>
          <w:shd w:val="clear" w:color="auto" w:fill="FFFFFF"/>
        </w:rPr>
        <w:t xml:space="preserve"> </w:t>
      </w:r>
      <w:r w:rsidR="00BB7DB8">
        <w:rPr>
          <w:shd w:val="clear" w:color="auto" w:fill="FFFFFF"/>
        </w:rPr>
        <w:t xml:space="preserve">до пункту 3 </w:t>
      </w:r>
      <w:r w:rsidR="00BB7DB8" w:rsidRPr="00DB483E">
        <w:rPr>
          <w:shd w:val="clear" w:color="auto" w:fill="FFFFFF"/>
        </w:rPr>
        <w:t xml:space="preserve">постанови Правління Національного банку України від 18 січня 2024 року № 9 </w:t>
      </w:r>
      <w:r w:rsidR="00BB7DB8" w:rsidRPr="00DB483E">
        <w:rPr>
          <w:bCs/>
        </w:rPr>
        <w:t>“Про затвердження Правил подання звітності про активні операції</w:t>
      </w:r>
      <w:r w:rsidR="00BB7DB8" w:rsidRPr="00DB483E">
        <w:t xml:space="preserve">” </w:t>
      </w:r>
      <w:r w:rsidR="00BB7DB8" w:rsidRPr="00DB483E">
        <w:rPr>
          <w:shd w:val="clear" w:color="auto" w:fill="FFFFFF"/>
        </w:rPr>
        <w:t>такі зміни:</w:t>
      </w:r>
    </w:p>
    <w:p w14:paraId="652B8CA1" w14:textId="77777777" w:rsidR="00BB7DB8" w:rsidRPr="00B45114" w:rsidRDefault="00BB7DB8" w:rsidP="00BB7DB8">
      <w:pPr>
        <w:pStyle w:val="af3"/>
        <w:tabs>
          <w:tab w:val="left" w:pos="993"/>
        </w:tabs>
        <w:ind w:left="567"/>
        <w:contextualSpacing w:val="0"/>
        <w:rPr>
          <w:noProof/>
        </w:rPr>
      </w:pPr>
    </w:p>
    <w:p w14:paraId="52BED700" w14:textId="5F45C97D" w:rsidR="00BB7DB8" w:rsidRDefault="00D430DF" w:rsidP="00BB7DB8">
      <w:pPr>
        <w:pStyle w:val="af3"/>
        <w:numPr>
          <w:ilvl w:val="0"/>
          <w:numId w:val="2"/>
        </w:numPr>
        <w:tabs>
          <w:tab w:val="left" w:pos="993"/>
        </w:tabs>
        <w:ind w:left="0" w:firstLine="567"/>
        <w:contextualSpacing w:val="0"/>
        <w:rPr>
          <w:noProof/>
        </w:rPr>
      </w:pPr>
      <w:r w:rsidRPr="00815B94">
        <w:t> </w:t>
      </w:r>
      <w:r w:rsidR="00E8519C">
        <w:rPr>
          <w:noProof/>
        </w:rPr>
        <w:t>абзац перший після слова “</w:t>
      </w:r>
      <w:r w:rsidR="00BB7DB8">
        <w:rPr>
          <w:noProof/>
        </w:rPr>
        <w:t xml:space="preserve">України” доповнити словами “не складає </w:t>
      </w:r>
      <w:r w:rsidR="00BB7DB8" w:rsidRPr="00CB0C26">
        <w:rPr>
          <w:noProof/>
        </w:rPr>
        <w:t>документів про порушення та”;</w:t>
      </w:r>
    </w:p>
    <w:p w14:paraId="7E4B0505" w14:textId="77777777" w:rsidR="00BB7DB8" w:rsidRPr="00CB0C26" w:rsidRDefault="00BB7DB8" w:rsidP="00BB7DB8">
      <w:pPr>
        <w:pStyle w:val="af3"/>
        <w:ind w:left="927"/>
        <w:contextualSpacing w:val="0"/>
        <w:rPr>
          <w:noProof/>
        </w:rPr>
      </w:pPr>
    </w:p>
    <w:p w14:paraId="1F0C91D8" w14:textId="55FCD35F" w:rsidR="00BB7DB8" w:rsidRDefault="00D430DF" w:rsidP="00BB7DB8">
      <w:pPr>
        <w:pStyle w:val="af3"/>
        <w:numPr>
          <w:ilvl w:val="0"/>
          <w:numId w:val="2"/>
        </w:numPr>
        <w:tabs>
          <w:tab w:val="left" w:pos="709"/>
          <w:tab w:val="left" w:pos="993"/>
        </w:tabs>
        <w:ind w:left="0" w:firstLine="567"/>
        <w:rPr>
          <w:rFonts w:eastAsiaTheme="minorEastAsia"/>
          <w:noProof/>
          <w:lang w:eastAsia="en-US"/>
        </w:rPr>
      </w:pPr>
      <w:r w:rsidRPr="00815B94">
        <w:t> </w:t>
      </w:r>
      <w:r w:rsidR="00E8519C">
        <w:rPr>
          <w:rFonts w:eastAsiaTheme="minorEastAsia"/>
          <w:noProof/>
          <w:lang w:eastAsia="en-US"/>
        </w:rPr>
        <w:t>у підпункті 2 цифри та слово “01 грудня 2024</w:t>
      </w:r>
      <w:r w:rsidR="00BB7DB8" w:rsidRPr="00FD5B07">
        <w:rPr>
          <w:rFonts w:eastAsiaTheme="minorEastAsia"/>
          <w:noProof/>
          <w:lang w:eastAsia="en-US"/>
        </w:rPr>
        <w:t xml:space="preserve">” замінити цифрами </w:t>
      </w:r>
      <w:r w:rsidR="00E8519C">
        <w:rPr>
          <w:rFonts w:eastAsiaTheme="minorEastAsia"/>
          <w:noProof/>
          <w:lang w:eastAsia="en-US"/>
        </w:rPr>
        <w:t>та словом “31 грудня 2026</w:t>
      </w:r>
      <w:r w:rsidR="00BB7DB8" w:rsidRPr="00FD5B07">
        <w:rPr>
          <w:rFonts w:eastAsiaTheme="minorEastAsia"/>
          <w:noProof/>
          <w:lang w:eastAsia="en-US"/>
        </w:rPr>
        <w:t>”;</w:t>
      </w:r>
    </w:p>
    <w:p w14:paraId="4043DD37" w14:textId="77777777" w:rsidR="00BB7DB8" w:rsidRPr="00954300" w:rsidRDefault="00BB7DB8" w:rsidP="00BB7DB8">
      <w:pPr>
        <w:rPr>
          <w:rFonts w:eastAsiaTheme="minorEastAsia"/>
          <w:noProof/>
          <w:lang w:eastAsia="en-US"/>
        </w:rPr>
      </w:pPr>
    </w:p>
    <w:p w14:paraId="068A6758" w14:textId="7F7F4BC5" w:rsidR="00BB7DB8" w:rsidRPr="00FD5B07" w:rsidRDefault="00D430DF" w:rsidP="00BB7DB8">
      <w:pPr>
        <w:pStyle w:val="af3"/>
        <w:numPr>
          <w:ilvl w:val="0"/>
          <w:numId w:val="2"/>
        </w:numPr>
        <w:tabs>
          <w:tab w:val="left" w:pos="993"/>
        </w:tabs>
        <w:ind w:left="0" w:firstLine="567"/>
        <w:rPr>
          <w:rFonts w:eastAsiaTheme="minorEastAsia"/>
          <w:noProof/>
          <w:lang w:eastAsia="en-US"/>
        </w:rPr>
      </w:pPr>
      <w:r w:rsidRPr="00815B94">
        <w:t> </w:t>
      </w:r>
      <w:r w:rsidR="00BB7DB8" w:rsidRPr="00FD5B07">
        <w:rPr>
          <w:rFonts w:eastAsiaTheme="minorEastAsia"/>
          <w:noProof/>
          <w:lang w:eastAsia="en-US"/>
        </w:rPr>
        <w:t>у підпункті 3 цифри та слов</w:t>
      </w:r>
      <w:r w:rsidR="00E8519C">
        <w:rPr>
          <w:rFonts w:eastAsiaTheme="minorEastAsia"/>
          <w:noProof/>
          <w:lang w:eastAsia="en-US"/>
        </w:rPr>
        <w:t>о “01 червня 2025” замінити цифрами та словом “31 грудня</w:t>
      </w:r>
      <w:r w:rsidR="00B52596">
        <w:rPr>
          <w:rFonts w:eastAsiaTheme="minorEastAsia"/>
          <w:noProof/>
          <w:lang w:eastAsia="en-US"/>
        </w:rPr>
        <w:t xml:space="preserve"> 2026</w:t>
      </w:r>
      <w:r w:rsidR="00BB7DB8" w:rsidRPr="00FD5B07">
        <w:rPr>
          <w:rFonts w:eastAsiaTheme="minorEastAsia"/>
          <w:noProof/>
          <w:lang w:eastAsia="en-US"/>
        </w:rPr>
        <w:t>”.</w:t>
      </w:r>
    </w:p>
    <w:p w14:paraId="06AB3EB7" w14:textId="77777777" w:rsidR="00BB7DB8" w:rsidRPr="00CB0C26" w:rsidRDefault="00BB7DB8" w:rsidP="00BB7DB8">
      <w:pPr>
        <w:ind w:firstLine="567"/>
        <w:rPr>
          <w:rFonts w:eastAsiaTheme="minorEastAsia"/>
          <w:noProof/>
          <w:lang w:eastAsia="en-US"/>
        </w:rPr>
      </w:pPr>
    </w:p>
    <w:p w14:paraId="7291983E" w14:textId="49329170" w:rsidR="00BB7DB8" w:rsidRDefault="00D430DF" w:rsidP="00BB7DB8">
      <w:pPr>
        <w:pStyle w:val="af3"/>
        <w:numPr>
          <w:ilvl w:val="0"/>
          <w:numId w:val="1"/>
        </w:numPr>
        <w:tabs>
          <w:tab w:val="left" w:pos="851"/>
        </w:tabs>
        <w:ind w:left="0" w:firstLine="567"/>
        <w:rPr>
          <w:shd w:val="clear" w:color="auto" w:fill="FFFFFF"/>
        </w:rPr>
      </w:pPr>
      <w:r w:rsidRPr="00815B94">
        <w:t> </w:t>
      </w:r>
      <w:proofErr w:type="spellStart"/>
      <w:r w:rsidR="00BB7DB8" w:rsidRPr="00CB0C26">
        <w:t>Унести</w:t>
      </w:r>
      <w:proofErr w:type="spellEnd"/>
      <w:r w:rsidR="00BB7DB8" w:rsidRPr="00CB0C26">
        <w:t xml:space="preserve"> до </w:t>
      </w:r>
      <w:r w:rsidR="00BB7DB8" w:rsidRPr="00CB0C26">
        <w:rPr>
          <w:lang w:eastAsia="ru-RU"/>
        </w:rPr>
        <w:t xml:space="preserve">Правил </w:t>
      </w:r>
      <w:r w:rsidR="00BB7DB8" w:rsidRPr="00CB0C26">
        <w:t>подання</w:t>
      </w:r>
      <w:r w:rsidR="00BB7DB8">
        <w:t xml:space="preserve"> звітності про активні операції</w:t>
      </w:r>
      <w:r w:rsidR="00BB7DB8" w:rsidRPr="00F25AC1">
        <w:t xml:space="preserve">, затверджених постановою Правління Національного банку України від </w:t>
      </w:r>
      <w:r w:rsidR="00BB7DB8">
        <w:br/>
      </w:r>
      <w:r w:rsidR="00BB7DB8" w:rsidRPr="00C26261">
        <w:rPr>
          <w:shd w:val="clear" w:color="auto" w:fill="FFFFFF"/>
        </w:rPr>
        <w:t>18 січня 2024 року № 9</w:t>
      </w:r>
      <w:r w:rsidR="00BB7DB8">
        <w:rPr>
          <w:shd w:val="clear" w:color="auto" w:fill="FFFFFF"/>
        </w:rPr>
        <w:t>, такі зміни</w:t>
      </w:r>
      <w:r w:rsidR="00BB7DB8" w:rsidRPr="00C26261">
        <w:rPr>
          <w:shd w:val="clear" w:color="auto" w:fill="FFFFFF"/>
        </w:rPr>
        <w:t>:</w:t>
      </w:r>
    </w:p>
    <w:p w14:paraId="568A7157" w14:textId="77777777" w:rsidR="00BB7DB8" w:rsidRPr="00C26261" w:rsidRDefault="00BB7DB8" w:rsidP="00BB7DB8">
      <w:pPr>
        <w:pStyle w:val="af3"/>
        <w:tabs>
          <w:tab w:val="left" w:pos="851"/>
        </w:tabs>
        <w:ind w:left="567"/>
        <w:rPr>
          <w:shd w:val="clear" w:color="auto" w:fill="FFFFFF"/>
        </w:rPr>
      </w:pPr>
    </w:p>
    <w:p w14:paraId="182B0953" w14:textId="4A055249" w:rsidR="00BB7DB8" w:rsidRDefault="00D430DF" w:rsidP="00BB7DB8">
      <w:pPr>
        <w:pStyle w:val="af3"/>
        <w:numPr>
          <w:ilvl w:val="0"/>
          <w:numId w:val="3"/>
        </w:numPr>
        <w:rPr>
          <w:rFonts w:eastAsiaTheme="minorEastAsia"/>
          <w:noProof/>
          <w:color w:val="000000" w:themeColor="text1"/>
          <w:lang w:eastAsia="en-US"/>
        </w:rPr>
      </w:pPr>
      <w:r w:rsidRPr="00815B94">
        <w:t> </w:t>
      </w:r>
      <w:r w:rsidR="00BB7DB8">
        <w:t xml:space="preserve">у </w:t>
      </w:r>
      <w:r w:rsidR="00BB7DB8" w:rsidRPr="006F0873">
        <w:t xml:space="preserve">розділ </w:t>
      </w:r>
      <w:r w:rsidR="00BB7DB8" w:rsidRPr="00FD5B07">
        <w:rPr>
          <w:rFonts w:eastAsiaTheme="minorEastAsia"/>
          <w:noProof/>
          <w:color w:val="000000" w:themeColor="text1"/>
          <w:lang w:val="en-US" w:eastAsia="en-US"/>
        </w:rPr>
        <w:t>IV</w:t>
      </w:r>
      <w:r w:rsidR="00BB7DB8">
        <w:rPr>
          <w:rFonts w:eastAsiaTheme="minorEastAsia"/>
          <w:noProof/>
          <w:color w:val="000000" w:themeColor="text1"/>
          <w:lang w:eastAsia="en-US"/>
        </w:rPr>
        <w:t>:</w:t>
      </w:r>
    </w:p>
    <w:p w14:paraId="46116C26" w14:textId="77777777" w:rsidR="00BB7DB8" w:rsidRDefault="00BB7DB8" w:rsidP="00BB7DB8">
      <w:pPr>
        <w:pStyle w:val="af3"/>
        <w:ind w:left="927" w:hanging="360"/>
      </w:pPr>
      <w:r>
        <w:t>пункт 25 викласти в такій редакції:</w:t>
      </w:r>
    </w:p>
    <w:p w14:paraId="256ED415" w14:textId="77777777" w:rsidR="00BB7DB8" w:rsidRDefault="00BB7DB8" w:rsidP="00BB7DB8">
      <w:pPr>
        <w:pStyle w:val="af3"/>
        <w:ind w:left="0" w:firstLine="567"/>
      </w:pPr>
      <w:r w:rsidRPr="004C5F2A">
        <w:t>“2</w:t>
      </w:r>
      <w:r w:rsidRPr="004C5F2A">
        <w:rPr>
          <w:lang w:val="ru-RU"/>
        </w:rPr>
        <w:t>5</w:t>
      </w:r>
      <w:r w:rsidRPr="004C5F2A">
        <w:t xml:space="preserve">. Звітність про активні операції подається не пізніше передостаннього робочого дня місяця, наступного за </w:t>
      </w:r>
      <w:proofErr w:type="spellStart"/>
      <w:r w:rsidRPr="004C5F2A">
        <w:t>звітним.ˮ</w:t>
      </w:r>
      <w:proofErr w:type="spellEnd"/>
      <w:r w:rsidRPr="004C5F2A">
        <w:t>;</w:t>
      </w:r>
    </w:p>
    <w:p w14:paraId="27CB0126" w14:textId="77777777" w:rsidR="00BB7DB8" w:rsidRPr="009F31E9" w:rsidRDefault="00BB7DB8" w:rsidP="00BB7DB8">
      <w:pPr>
        <w:pStyle w:val="af3"/>
        <w:ind w:left="0" w:firstLine="567"/>
      </w:pPr>
      <w:r>
        <w:t>пункт 27 виключити;</w:t>
      </w:r>
      <w:bookmarkStart w:id="0" w:name="_GoBack"/>
    </w:p>
    <w:p w14:paraId="31F7C847" w14:textId="66661599" w:rsidR="00BB7DB8" w:rsidRPr="009F31E9" w:rsidRDefault="00ED1D6C" w:rsidP="00BB7DB8">
      <w:pPr>
        <w:pStyle w:val="af3"/>
        <w:ind w:left="567"/>
        <w:rPr>
          <w:rFonts w:eastAsiaTheme="minorEastAsia"/>
          <w:noProof/>
          <w:lang w:eastAsia="en-US"/>
        </w:rPr>
      </w:pPr>
      <w:r w:rsidRPr="009F31E9">
        <w:t xml:space="preserve">розділ </w:t>
      </w:r>
      <w:r w:rsidR="00BB7DB8" w:rsidRPr="009F31E9">
        <w:t xml:space="preserve">доповнити новим пунктом </w:t>
      </w:r>
      <w:r w:rsidR="00BB7DB8" w:rsidRPr="009F31E9">
        <w:rPr>
          <w:rFonts w:eastAsiaTheme="minorEastAsia"/>
          <w:noProof/>
          <w:lang w:eastAsia="en-US"/>
        </w:rPr>
        <w:t>28</w:t>
      </w:r>
      <w:r w:rsidR="00BB7DB8" w:rsidRPr="009F31E9">
        <w:rPr>
          <w:rFonts w:eastAsiaTheme="minorEastAsia"/>
          <w:noProof/>
          <w:vertAlign w:val="superscript"/>
          <w:lang w:eastAsia="en-US"/>
        </w:rPr>
        <w:t xml:space="preserve">1 </w:t>
      </w:r>
      <w:r w:rsidR="00BB7DB8" w:rsidRPr="009F31E9">
        <w:t>такого змісту:</w:t>
      </w:r>
    </w:p>
    <w:p w14:paraId="05FB6C58" w14:textId="77777777" w:rsidR="000318EB" w:rsidRPr="009F31E9" w:rsidRDefault="001C09B4" w:rsidP="000318EB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31E9">
        <w:rPr>
          <w:rFonts w:eastAsiaTheme="minorEastAsia"/>
          <w:noProof/>
          <w:lang w:eastAsia="en-US"/>
        </w:rPr>
        <w:lastRenderedPageBreak/>
        <w:t>«</w:t>
      </w:r>
      <w:r w:rsidR="000318EB" w:rsidRPr="009F31E9">
        <w:rPr>
          <w:bCs/>
          <w:sz w:val="28"/>
          <w:szCs w:val="28"/>
        </w:rPr>
        <w:t>28</w:t>
      </w:r>
      <w:r w:rsidR="000318EB" w:rsidRPr="009F31E9">
        <w:rPr>
          <w:bCs/>
          <w:sz w:val="28"/>
          <w:szCs w:val="28"/>
          <w:vertAlign w:val="superscript"/>
        </w:rPr>
        <w:t>1</w:t>
      </w:r>
      <w:r w:rsidR="000318EB" w:rsidRPr="009F31E9">
        <w:rPr>
          <w:bCs/>
          <w:sz w:val="28"/>
          <w:szCs w:val="28"/>
        </w:rPr>
        <w:t>. </w:t>
      </w:r>
      <w:r w:rsidR="000318EB" w:rsidRPr="009F31E9">
        <w:rPr>
          <w:bCs/>
          <w:sz w:val="28"/>
          <w:szCs w:val="28"/>
          <w:shd w:val="clear" w:color="auto" w:fill="FFFFFF"/>
        </w:rPr>
        <w:t>Фінансова компанія, кредитна спілка, яка не подає звітність про активні операції у зв’язку з відсутністю даних для звітування, вимоги щодо подання якої визначені в абзаці першому пункту 22 розділу ІV цих Правил, зобов’язана не пізніше </w:t>
      </w:r>
      <w:r w:rsidR="000318EB" w:rsidRPr="009F31E9">
        <w:rPr>
          <w:bCs/>
          <w:sz w:val="28"/>
          <w:szCs w:val="28"/>
        </w:rPr>
        <w:t>передостаннього</w:t>
      </w:r>
      <w:r w:rsidR="000318EB" w:rsidRPr="009F31E9">
        <w:rPr>
          <w:bCs/>
          <w:sz w:val="28"/>
          <w:szCs w:val="28"/>
          <w:shd w:val="clear" w:color="auto" w:fill="FFFFFF"/>
        </w:rPr>
        <w:t> робочого дня місяця, наступного за звітним, повідомити про це:</w:t>
      </w:r>
    </w:p>
    <w:p w14:paraId="197819C1" w14:textId="77777777" w:rsidR="000318EB" w:rsidRPr="009F31E9" w:rsidRDefault="000318EB" w:rsidP="000318EB">
      <w:pPr>
        <w:pStyle w:val="x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31E9">
        <w:rPr>
          <w:sz w:val="28"/>
          <w:szCs w:val="28"/>
          <w:shd w:val="clear" w:color="auto" w:fill="FFFFFF"/>
        </w:rPr>
        <w:t> </w:t>
      </w:r>
    </w:p>
    <w:p w14:paraId="2F80B3EA" w14:textId="77777777" w:rsidR="000318EB" w:rsidRPr="000318EB" w:rsidRDefault="000318EB" w:rsidP="000318EB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31E9">
        <w:rPr>
          <w:sz w:val="28"/>
          <w:szCs w:val="28"/>
        </w:rPr>
        <w:t xml:space="preserve">1) до 31 серпня 2026 року – електронним повідомленням із супровідним листом на офіційну електронну поштову </w:t>
      </w:r>
      <w:bookmarkEnd w:id="0"/>
      <w:r w:rsidRPr="000318EB">
        <w:rPr>
          <w:sz w:val="28"/>
          <w:szCs w:val="28"/>
        </w:rPr>
        <w:t>скриньку Національного банку (</w:t>
      </w:r>
      <w:hyperlink r:id="rId14" w:tgtFrame="_blank" w:history="1">
        <w:r w:rsidRPr="000318EB">
          <w:rPr>
            <w:rStyle w:val="af5"/>
            <w:color w:val="auto"/>
            <w:sz w:val="28"/>
            <w:szCs w:val="28"/>
            <w:u w:val="none"/>
          </w:rPr>
          <w:t>nbu@bank.gov.ua</w:t>
        </w:r>
      </w:hyperlink>
      <w:r w:rsidRPr="000318EB">
        <w:rPr>
          <w:sz w:val="28"/>
          <w:szCs w:val="28"/>
        </w:rPr>
        <w:t>);</w:t>
      </w:r>
    </w:p>
    <w:p w14:paraId="7782F7B0" w14:textId="77777777" w:rsidR="000318EB" w:rsidRPr="000318EB" w:rsidRDefault="000318EB" w:rsidP="000318EB">
      <w:pPr>
        <w:pStyle w:val="xmsonormal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318EB">
        <w:rPr>
          <w:bCs/>
          <w:sz w:val="28"/>
          <w:szCs w:val="28"/>
        </w:rPr>
        <w:t> </w:t>
      </w:r>
    </w:p>
    <w:p w14:paraId="68FD573A" w14:textId="7665196A" w:rsidR="00BB7DB8" w:rsidRPr="000318EB" w:rsidRDefault="000318EB" w:rsidP="000318EB">
      <w:pPr>
        <w:pStyle w:val="af3"/>
        <w:tabs>
          <w:tab w:val="left" w:pos="851"/>
          <w:tab w:val="left" w:pos="993"/>
        </w:tabs>
        <w:ind w:left="0" w:firstLine="567"/>
        <w:rPr>
          <w:shd w:val="clear" w:color="auto" w:fill="FFFFFF"/>
        </w:rPr>
      </w:pPr>
      <w:r w:rsidRPr="000318EB">
        <w:t xml:space="preserve">2) з 1 вересня 2026 року – через </w:t>
      </w:r>
      <w:proofErr w:type="spellStart"/>
      <w:r w:rsidRPr="000318EB">
        <w:t>вебсервіс</w:t>
      </w:r>
      <w:proofErr w:type="spellEnd"/>
      <w:r w:rsidRPr="000318EB">
        <w:t xml:space="preserve"> надання інформації, посилання на який розміщено на сторінці Офіційного інтернет-представництва Національного банку в розділі “Статистика / Організація статистичної звітності / Реєстр реквізитів звітності про активні </w:t>
      </w:r>
      <w:proofErr w:type="spellStart"/>
      <w:r w:rsidRPr="000318EB">
        <w:t>операціїˮ</w:t>
      </w:r>
      <w:proofErr w:type="spellEnd"/>
      <w:r w:rsidRPr="000318EB">
        <w:t>.</w:t>
      </w:r>
      <w:r w:rsidR="001C09B4" w:rsidRPr="000318EB">
        <w:rPr>
          <w:shd w:val="clear" w:color="auto" w:fill="FFFFFF"/>
        </w:rPr>
        <w:t>»</w:t>
      </w:r>
      <w:r w:rsidR="00BB7DB8" w:rsidRPr="000318EB">
        <w:rPr>
          <w:shd w:val="clear" w:color="auto" w:fill="FFFFFF"/>
        </w:rPr>
        <w:t>;</w:t>
      </w:r>
      <w:r w:rsidR="00BB7DB8" w:rsidRPr="000318EB">
        <w:t xml:space="preserve"> </w:t>
      </w:r>
    </w:p>
    <w:p w14:paraId="5A0830FF" w14:textId="77777777" w:rsidR="00BB7DB8" w:rsidRPr="00691773" w:rsidRDefault="00BB7DB8" w:rsidP="00BB7DB8">
      <w:pPr>
        <w:ind w:firstLine="567"/>
      </w:pPr>
    </w:p>
    <w:p w14:paraId="074C9A2E" w14:textId="7393BFB7" w:rsidR="00BB7DB8" w:rsidRDefault="00BB7DB8" w:rsidP="007846CC">
      <w:pPr>
        <w:tabs>
          <w:tab w:val="left" w:pos="851"/>
        </w:tabs>
        <w:ind w:firstLine="567"/>
        <w:rPr>
          <w:rFonts w:eastAsiaTheme="minorEastAsia"/>
          <w:noProof/>
          <w:color w:val="000000" w:themeColor="text1"/>
          <w:lang w:eastAsia="en-US"/>
        </w:rPr>
      </w:pPr>
      <w:r w:rsidRPr="00691773">
        <w:t>2)</w:t>
      </w:r>
      <w:r w:rsidR="009E11CA" w:rsidRPr="00815B94">
        <w:t> </w:t>
      </w:r>
      <w:r w:rsidRPr="00691773">
        <w:t xml:space="preserve"> у тексті </w:t>
      </w:r>
      <w:r w:rsidR="009E11CA">
        <w:t xml:space="preserve">Правил </w:t>
      </w:r>
      <w:r w:rsidRPr="00691773">
        <w:t>слова “офіційного Інтернет-</w:t>
      </w:r>
      <w:proofErr w:type="spellStart"/>
      <w:r w:rsidRPr="00691773">
        <w:t>представництва</w:t>
      </w:r>
      <w:r w:rsidRPr="00691773">
        <w:rPr>
          <w:rFonts w:eastAsiaTheme="minorEastAsia"/>
          <w:noProof/>
          <w:lang w:eastAsia="en-US"/>
        </w:rPr>
        <w:t>ˮ</w:t>
      </w:r>
      <w:proofErr w:type="spellEnd"/>
      <w:r w:rsidRPr="00691773">
        <w:rPr>
          <w:rFonts w:eastAsiaTheme="minorEastAsia"/>
          <w:noProof/>
          <w:lang w:eastAsia="en-US"/>
        </w:rPr>
        <w:t xml:space="preserve"> замінити словами </w:t>
      </w:r>
      <w:r w:rsidRPr="00561926">
        <w:t>“</w:t>
      </w:r>
      <w:r>
        <w:t>О</w:t>
      </w:r>
      <w:r w:rsidRPr="00561926">
        <w:t xml:space="preserve">фіційного </w:t>
      </w:r>
      <w:r>
        <w:t>і</w:t>
      </w:r>
      <w:r w:rsidRPr="00561926">
        <w:t>нтернет-</w:t>
      </w:r>
      <w:proofErr w:type="spellStart"/>
      <w:r w:rsidRPr="00561926">
        <w:t>представництва</w:t>
      </w:r>
      <w:r w:rsidRPr="00C26261">
        <w:rPr>
          <w:rFonts w:eastAsiaTheme="minorEastAsia"/>
          <w:noProof/>
          <w:color w:val="000000" w:themeColor="text1"/>
          <w:lang w:eastAsia="en-US"/>
        </w:rPr>
        <w:t>ˮ</w:t>
      </w:r>
      <w:proofErr w:type="spellEnd"/>
      <w:r>
        <w:rPr>
          <w:rFonts w:eastAsiaTheme="minorEastAsia"/>
          <w:noProof/>
          <w:color w:val="000000" w:themeColor="text1"/>
          <w:lang w:eastAsia="en-US"/>
        </w:rPr>
        <w:t>.</w:t>
      </w:r>
    </w:p>
    <w:p w14:paraId="20C38DA3" w14:textId="6C42FC6E" w:rsidR="00BB7DB8" w:rsidRPr="00DB483E" w:rsidRDefault="00035AE2" w:rsidP="00BB7DB8">
      <w:pPr>
        <w:pStyle w:val="af3"/>
        <w:spacing w:before="240" w:after="120"/>
        <w:ind w:left="0" w:firstLine="567"/>
        <w:contextualSpacing w:val="0"/>
        <w:rPr>
          <w:noProof/>
          <w:lang w:val="ru-RU"/>
        </w:rPr>
      </w:pPr>
      <w:r>
        <w:rPr>
          <w:rFonts w:eastAsiaTheme="minorEastAsia"/>
          <w:noProof/>
          <w:lang w:eastAsia="en-US"/>
        </w:rPr>
        <w:t>3</w:t>
      </w:r>
      <w:r w:rsidR="00BB7DB8" w:rsidRPr="00DB483E">
        <w:rPr>
          <w:rFonts w:eastAsiaTheme="minorEastAsia"/>
          <w:noProof/>
          <w:lang w:val="ru-RU" w:eastAsia="en-US"/>
        </w:rPr>
        <w:t>.</w:t>
      </w:r>
      <w:r w:rsidR="00BB7DB8" w:rsidRPr="00DB483E">
        <w:rPr>
          <w:rFonts w:eastAsiaTheme="minorEastAsia"/>
          <w:noProof/>
          <w:lang w:val="en-US" w:eastAsia="en-US"/>
        </w:rPr>
        <w:t> </w:t>
      </w:r>
      <w:r w:rsidR="00BB7DB8" w:rsidRPr="003E175F">
        <w:rPr>
          <w:rFonts w:eastAsiaTheme="minorEastAsia"/>
          <w:noProof/>
          <w:lang w:eastAsia="en-US"/>
        </w:rPr>
        <w:t>Постанова набирає чинності з дня, наступного за днем її офіційного опублікування</w:t>
      </w:r>
      <w:r w:rsidR="009E11CA">
        <w:rPr>
          <w:rFonts w:eastAsiaTheme="minorEastAsia"/>
          <w:noProof/>
          <w:lang w:eastAsia="en-US"/>
        </w:rPr>
        <w:t>.</w:t>
      </w:r>
    </w:p>
    <w:p w14:paraId="091D5F2A" w14:textId="77777777" w:rsidR="00410EC0" w:rsidRPr="00BB7DB8" w:rsidRDefault="00410EC0" w:rsidP="00410EC0">
      <w:pPr>
        <w:pStyle w:val="af3"/>
        <w:spacing w:before="240" w:after="120"/>
        <w:ind w:left="0" w:firstLine="567"/>
        <w:rPr>
          <w:rFonts w:eastAsiaTheme="minorEastAsia"/>
          <w:noProof/>
          <w:color w:val="000000" w:themeColor="text1"/>
          <w:lang w:val="ru-RU" w:eastAsia="en-US"/>
        </w:rPr>
      </w:pPr>
    </w:p>
    <w:p w14:paraId="7B3AD7DD" w14:textId="77777777" w:rsidR="00410EC0" w:rsidRPr="00CD0CD4" w:rsidRDefault="00410EC0" w:rsidP="00410EC0">
      <w:pPr>
        <w:spacing w:after="120"/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D472C2" w14:paraId="67DFEDE8" w14:textId="77777777" w:rsidTr="000F60CD">
        <w:tc>
          <w:tcPr>
            <w:tcW w:w="5387" w:type="dxa"/>
            <w:vAlign w:val="bottom"/>
          </w:tcPr>
          <w:p w14:paraId="1B7822DD" w14:textId="77777777" w:rsidR="00410EC0" w:rsidRPr="00CD0CD4" w:rsidRDefault="00BB7DB8" w:rsidP="007A6D97">
            <w:pPr>
              <w:autoSpaceDE w:val="0"/>
              <w:autoSpaceDN w:val="0"/>
              <w:ind w:left="-111"/>
              <w:jc w:val="left"/>
            </w:pPr>
            <w:r>
              <w:rPr>
                <w:lang w:eastAsia="en-US"/>
              </w:rPr>
              <w:t>Голова</w:t>
            </w:r>
          </w:p>
        </w:tc>
        <w:tc>
          <w:tcPr>
            <w:tcW w:w="4252" w:type="dxa"/>
            <w:vAlign w:val="bottom"/>
          </w:tcPr>
          <w:p w14:paraId="6ADE2936" w14:textId="77777777" w:rsidR="00410EC0" w:rsidRPr="00CD0CD4" w:rsidRDefault="00BB7DB8" w:rsidP="000F60CD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</w:pPr>
            <w:r>
              <w:rPr>
                <w:lang w:eastAsia="en-US"/>
              </w:rPr>
              <w:t>Андрій ПИШНИЙ</w:t>
            </w:r>
          </w:p>
        </w:tc>
      </w:tr>
    </w:tbl>
    <w:p w14:paraId="14B6CFB3" w14:textId="77777777" w:rsidR="00410EC0" w:rsidRPr="00CD0CD4" w:rsidRDefault="00410EC0" w:rsidP="00410EC0"/>
    <w:p w14:paraId="444AC784" w14:textId="77777777" w:rsidR="00410EC0" w:rsidRPr="00CD0CD4" w:rsidRDefault="00410EC0" w:rsidP="00410EC0"/>
    <w:p w14:paraId="03D4E35B" w14:textId="77777777" w:rsidR="00410EC0" w:rsidRDefault="00BD07C2" w:rsidP="00410EC0">
      <w:pPr>
        <w:jc w:val="left"/>
      </w:pPr>
      <w:r w:rsidRPr="00CD0CD4">
        <w:t>Інд.</w:t>
      </w:r>
      <w:r w:rsidRPr="00CD0CD4">
        <w:rPr>
          <w:sz w:val="22"/>
          <w:szCs w:val="22"/>
        </w:rPr>
        <w:t xml:space="preserve"> </w:t>
      </w:r>
      <w:r w:rsidR="00BB7DB8">
        <w:t>31</w:t>
      </w:r>
    </w:p>
    <w:p w14:paraId="1922C9B7" w14:textId="77777777" w:rsidR="00E97A59" w:rsidRPr="00E34A3F" w:rsidRDefault="00E97A59" w:rsidP="00BD354B">
      <w:pPr>
        <w:ind w:firstLine="5954"/>
        <w:jc w:val="left"/>
        <w:rPr>
          <w:lang w:val="ru-RU"/>
        </w:rPr>
      </w:pPr>
    </w:p>
    <w:sectPr w:rsidR="00E97A59" w:rsidRPr="00E34A3F" w:rsidSect="00437EED">
      <w:headerReference w:type="default" r:id="rId15"/>
      <w:headerReference w:type="first" r:id="rId16"/>
      <w:pgSz w:w="11906" w:h="16838" w:code="9"/>
      <w:pgMar w:top="567" w:right="567" w:bottom="1701" w:left="1701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ACE0E" w14:textId="77777777" w:rsidR="00CF6DD0" w:rsidRDefault="00CF6DD0">
      <w:r>
        <w:separator/>
      </w:r>
    </w:p>
  </w:endnote>
  <w:endnote w:type="continuationSeparator" w:id="0">
    <w:p w14:paraId="7BAA2735" w14:textId="77777777" w:rsidR="00CF6DD0" w:rsidRDefault="00CF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817C0" w14:textId="77777777" w:rsidR="00CF6DD0" w:rsidRDefault="00CF6DD0">
      <w:r>
        <w:separator/>
      </w:r>
    </w:p>
  </w:footnote>
  <w:footnote w:type="continuationSeparator" w:id="0">
    <w:p w14:paraId="7456A4BE" w14:textId="77777777" w:rsidR="00CF6DD0" w:rsidRDefault="00CF6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3202" w14:textId="77777777" w:rsidR="00847AE6" w:rsidRDefault="00847AE6" w:rsidP="00847AE6">
    <w:pPr>
      <w:pStyle w:val="a5"/>
      <w:jc w:val="center"/>
    </w:pPr>
    <w:r>
      <w:t>2</w:t>
    </w:r>
  </w:p>
  <w:p w14:paraId="7BB43EF4" w14:textId="77777777" w:rsidR="00847AE6" w:rsidRDefault="00847AE6" w:rsidP="00847AE6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FB4F1" w14:textId="3927F009" w:rsidR="00B13F26" w:rsidRDefault="00B13F26" w:rsidP="00B13F26">
    <w:pPr>
      <w:pStyle w:val="a5"/>
      <w:jc w:val="right"/>
    </w:pPr>
    <w: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219F0"/>
    <w:multiLevelType w:val="hybridMultilevel"/>
    <w:tmpl w:val="27F8A720"/>
    <w:lvl w:ilvl="0" w:tplc="73A28D7A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C42404"/>
    <w:multiLevelType w:val="hybridMultilevel"/>
    <w:tmpl w:val="AF107078"/>
    <w:lvl w:ilvl="0" w:tplc="702CC0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4B2067"/>
    <w:multiLevelType w:val="hybridMultilevel"/>
    <w:tmpl w:val="EE2A4FDE"/>
    <w:lvl w:ilvl="0" w:tplc="AFE0D01A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4D343E"/>
    <w:multiLevelType w:val="hybridMultilevel"/>
    <w:tmpl w:val="19121E6C"/>
    <w:lvl w:ilvl="0" w:tplc="19ECD3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attachedTemplate r:id="rId1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BC"/>
    <w:rsid w:val="000064FA"/>
    <w:rsid w:val="00015E47"/>
    <w:rsid w:val="00015FDE"/>
    <w:rsid w:val="00016403"/>
    <w:rsid w:val="000318EB"/>
    <w:rsid w:val="0003271F"/>
    <w:rsid w:val="00035AE2"/>
    <w:rsid w:val="000378F7"/>
    <w:rsid w:val="0003793C"/>
    <w:rsid w:val="000506D8"/>
    <w:rsid w:val="00052137"/>
    <w:rsid w:val="00063480"/>
    <w:rsid w:val="000713E8"/>
    <w:rsid w:val="0008747D"/>
    <w:rsid w:val="00097B89"/>
    <w:rsid w:val="000B2990"/>
    <w:rsid w:val="000B5ADB"/>
    <w:rsid w:val="000C370A"/>
    <w:rsid w:val="000C3F58"/>
    <w:rsid w:val="000D44E2"/>
    <w:rsid w:val="000E3300"/>
    <w:rsid w:val="000E4B44"/>
    <w:rsid w:val="000E700F"/>
    <w:rsid w:val="000F60CD"/>
    <w:rsid w:val="000F7479"/>
    <w:rsid w:val="00100163"/>
    <w:rsid w:val="00101D5A"/>
    <w:rsid w:val="001025EF"/>
    <w:rsid w:val="00102C1C"/>
    <w:rsid w:val="001068E6"/>
    <w:rsid w:val="001573D5"/>
    <w:rsid w:val="00162128"/>
    <w:rsid w:val="001652CD"/>
    <w:rsid w:val="001740C0"/>
    <w:rsid w:val="00190E1A"/>
    <w:rsid w:val="00192423"/>
    <w:rsid w:val="00193B5E"/>
    <w:rsid w:val="00193D7A"/>
    <w:rsid w:val="001A16FA"/>
    <w:rsid w:val="001A42D2"/>
    <w:rsid w:val="001C09B4"/>
    <w:rsid w:val="001C6067"/>
    <w:rsid w:val="001D3A55"/>
    <w:rsid w:val="001D487A"/>
    <w:rsid w:val="001E2732"/>
    <w:rsid w:val="001E5DB4"/>
    <w:rsid w:val="001F591C"/>
    <w:rsid w:val="001F64D4"/>
    <w:rsid w:val="001F71E8"/>
    <w:rsid w:val="00204F22"/>
    <w:rsid w:val="00207DA9"/>
    <w:rsid w:val="0021268A"/>
    <w:rsid w:val="00233146"/>
    <w:rsid w:val="0023651D"/>
    <w:rsid w:val="00241373"/>
    <w:rsid w:val="002453A3"/>
    <w:rsid w:val="00253BF9"/>
    <w:rsid w:val="00257FAC"/>
    <w:rsid w:val="00264983"/>
    <w:rsid w:val="00272B80"/>
    <w:rsid w:val="002846E4"/>
    <w:rsid w:val="00295C1B"/>
    <w:rsid w:val="002A172E"/>
    <w:rsid w:val="002A7DE0"/>
    <w:rsid w:val="002B58A0"/>
    <w:rsid w:val="002C677D"/>
    <w:rsid w:val="002C7B4D"/>
    <w:rsid w:val="002D171B"/>
    <w:rsid w:val="002D1790"/>
    <w:rsid w:val="002D5205"/>
    <w:rsid w:val="002D52F9"/>
    <w:rsid w:val="002E023A"/>
    <w:rsid w:val="002E114B"/>
    <w:rsid w:val="002F33F0"/>
    <w:rsid w:val="002F660B"/>
    <w:rsid w:val="0031386A"/>
    <w:rsid w:val="0033133D"/>
    <w:rsid w:val="00356E34"/>
    <w:rsid w:val="00357676"/>
    <w:rsid w:val="00364833"/>
    <w:rsid w:val="00367227"/>
    <w:rsid w:val="00371783"/>
    <w:rsid w:val="003768F7"/>
    <w:rsid w:val="0038167B"/>
    <w:rsid w:val="0038385E"/>
    <w:rsid w:val="003A383B"/>
    <w:rsid w:val="003B4F96"/>
    <w:rsid w:val="003C3282"/>
    <w:rsid w:val="003C3985"/>
    <w:rsid w:val="003C421E"/>
    <w:rsid w:val="003C7337"/>
    <w:rsid w:val="003D19A3"/>
    <w:rsid w:val="003F4317"/>
    <w:rsid w:val="00401EDB"/>
    <w:rsid w:val="00404C93"/>
    <w:rsid w:val="00404EC9"/>
    <w:rsid w:val="00407877"/>
    <w:rsid w:val="00410EC0"/>
    <w:rsid w:val="00410FA1"/>
    <w:rsid w:val="004318B3"/>
    <w:rsid w:val="00437EED"/>
    <w:rsid w:val="004414F7"/>
    <w:rsid w:val="00455B45"/>
    <w:rsid w:val="00471ABB"/>
    <w:rsid w:val="00472E7B"/>
    <w:rsid w:val="00484152"/>
    <w:rsid w:val="00494BE0"/>
    <w:rsid w:val="004A7F75"/>
    <w:rsid w:val="004B4733"/>
    <w:rsid w:val="004D7E2E"/>
    <w:rsid w:val="004E0515"/>
    <w:rsid w:val="004E22E2"/>
    <w:rsid w:val="004E344C"/>
    <w:rsid w:val="004F5AE4"/>
    <w:rsid w:val="004F62FC"/>
    <w:rsid w:val="00523C13"/>
    <w:rsid w:val="005257C2"/>
    <w:rsid w:val="00540210"/>
    <w:rsid w:val="005409D3"/>
    <w:rsid w:val="00542533"/>
    <w:rsid w:val="005537EC"/>
    <w:rsid w:val="005624B6"/>
    <w:rsid w:val="005632A7"/>
    <w:rsid w:val="00563A19"/>
    <w:rsid w:val="00563AC1"/>
    <w:rsid w:val="00566BA2"/>
    <w:rsid w:val="0057237F"/>
    <w:rsid w:val="00577402"/>
    <w:rsid w:val="00591298"/>
    <w:rsid w:val="005A0F4B"/>
    <w:rsid w:val="005A1D3C"/>
    <w:rsid w:val="005A2BBA"/>
    <w:rsid w:val="005A3F34"/>
    <w:rsid w:val="005A6B99"/>
    <w:rsid w:val="005B2D03"/>
    <w:rsid w:val="005C5CBF"/>
    <w:rsid w:val="005D2F3D"/>
    <w:rsid w:val="005F6418"/>
    <w:rsid w:val="00600DC6"/>
    <w:rsid w:val="00610F11"/>
    <w:rsid w:val="0061234E"/>
    <w:rsid w:val="0061599B"/>
    <w:rsid w:val="00616565"/>
    <w:rsid w:val="0063071E"/>
    <w:rsid w:val="0063271C"/>
    <w:rsid w:val="00640612"/>
    <w:rsid w:val="00653558"/>
    <w:rsid w:val="00655864"/>
    <w:rsid w:val="00670C95"/>
    <w:rsid w:val="00681460"/>
    <w:rsid w:val="00684225"/>
    <w:rsid w:val="006871CD"/>
    <w:rsid w:val="006A0AE1"/>
    <w:rsid w:val="006B2748"/>
    <w:rsid w:val="006B4C53"/>
    <w:rsid w:val="006C4176"/>
    <w:rsid w:val="006C66EF"/>
    <w:rsid w:val="006D2617"/>
    <w:rsid w:val="006E2386"/>
    <w:rsid w:val="006F3CFB"/>
    <w:rsid w:val="0070152E"/>
    <w:rsid w:val="00702896"/>
    <w:rsid w:val="0071789F"/>
    <w:rsid w:val="007476B2"/>
    <w:rsid w:val="007802D9"/>
    <w:rsid w:val="00783AF2"/>
    <w:rsid w:val="007846CC"/>
    <w:rsid w:val="0079324A"/>
    <w:rsid w:val="0079403A"/>
    <w:rsid w:val="007A038B"/>
    <w:rsid w:val="007A6609"/>
    <w:rsid w:val="007A6D97"/>
    <w:rsid w:val="007B51FC"/>
    <w:rsid w:val="007E135A"/>
    <w:rsid w:val="007E2E2F"/>
    <w:rsid w:val="007E5851"/>
    <w:rsid w:val="007F24D1"/>
    <w:rsid w:val="007F514C"/>
    <w:rsid w:val="00802988"/>
    <w:rsid w:val="008135AE"/>
    <w:rsid w:val="00815B94"/>
    <w:rsid w:val="00834346"/>
    <w:rsid w:val="00847AE6"/>
    <w:rsid w:val="00850F68"/>
    <w:rsid w:val="008555CA"/>
    <w:rsid w:val="00866993"/>
    <w:rsid w:val="00874366"/>
    <w:rsid w:val="008772B8"/>
    <w:rsid w:val="00896CA3"/>
    <w:rsid w:val="008A58E9"/>
    <w:rsid w:val="008A704D"/>
    <w:rsid w:val="008B014D"/>
    <w:rsid w:val="008B1589"/>
    <w:rsid w:val="008B164A"/>
    <w:rsid w:val="008B5EAF"/>
    <w:rsid w:val="008C2498"/>
    <w:rsid w:val="008D10FD"/>
    <w:rsid w:val="008D122F"/>
    <w:rsid w:val="00904F17"/>
    <w:rsid w:val="00961672"/>
    <w:rsid w:val="00964724"/>
    <w:rsid w:val="00967CC4"/>
    <w:rsid w:val="0097288F"/>
    <w:rsid w:val="00984B02"/>
    <w:rsid w:val="009943E9"/>
    <w:rsid w:val="00994CD4"/>
    <w:rsid w:val="00995A8D"/>
    <w:rsid w:val="009A4DE6"/>
    <w:rsid w:val="009C717F"/>
    <w:rsid w:val="009D6D44"/>
    <w:rsid w:val="009E11CA"/>
    <w:rsid w:val="009E2A5B"/>
    <w:rsid w:val="009F31E9"/>
    <w:rsid w:val="009F525F"/>
    <w:rsid w:val="009F5312"/>
    <w:rsid w:val="00A06ADB"/>
    <w:rsid w:val="00A104FB"/>
    <w:rsid w:val="00A20DD7"/>
    <w:rsid w:val="00A23E04"/>
    <w:rsid w:val="00A41133"/>
    <w:rsid w:val="00A47EF0"/>
    <w:rsid w:val="00A50DC0"/>
    <w:rsid w:val="00A51C39"/>
    <w:rsid w:val="00A708BE"/>
    <w:rsid w:val="00A72446"/>
    <w:rsid w:val="00A72F06"/>
    <w:rsid w:val="00A77FFD"/>
    <w:rsid w:val="00AA726B"/>
    <w:rsid w:val="00AB1C0F"/>
    <w:rsid w:val="00AB28F1"/>
    <w:rsid w:val="00AC47B6"/>
    <w:rsid w:val="00AE16F0"/>
    <w:rsid w:val="00AF59AC"/>
    <w:rsid w:val="00B12A6F"/>
    <w:rsid w:val="00B13F26"/>
    <w:rsid w:val="00B221AB"/>
    <w:rsid w:val="00B2364C"/>
    <w:rsid w:val="00B24F71"/>
    <w:rsid w:val="00B31892"/>
    <w:rsid w:val="00B332B2"/>
    <w:rsid w:val="00B47179"/>
    <w:rsid w:val="00B52596"/>
    <w:rsid w:val="00B5752E"/>
    <w:rsid w:val="00B616A5"/>
    <w:rsid w:val="00B65095"/>
    <w:rsid w:val="00B66974"/>
    <w:rsid w:val="00B67B26"/>
    <w:rsid w:val="00B765AC"/>
    <w:rsid w:val="00B77FBC"/>
    <w:rsid w:val="00B85728"/>
    <w:rsid w:val="00B930E3"/>
    <w:rsid w:val="00BB44AB"/>
    <w:rsid w:val="00BB7DB8"/>
    <w:rsid w:val="00BC6419"/>
    <w:rsid w:val="00BD07C2"/>
    <w:rsid w:val="00BD354B"/>
    <w:rsid w:val="00BE6C11"/>
    <w:rsid w:val="00BF052C"/>
    <w:rsid w:val="00C21D33"/>
    <w:rsid w:val="00C22D27"/>
    <w:rsid w:val="00C261F6"/>
    <w:rsid w:val="00C36ED6"/>
    <w:rsid w:val="00C41293"/>
    <w:rsid w:val="00C422E3"/>
    <w:rsid w:val="00C4377C"/>
    <w:rsid w:val="00C437A7"/>
    <w:rsid w:val="00C53EB8"/>
    <w:rsid w:val="00C65DEC"/>
    <w:rsid w:val="00C763A3"/>
    <w:rsid w:val="00C80F5E"/>
    <w:rsid w:val="00C82259"/>
    <w:rsid w:val="00C831BC"/>
    <w:rsid w:val="00C8418C"/>
    <w:rsid w:val="00CC035C"/>
    <w:rsid w:val="00CC763F"/>
    <w:rsid w:val="00CD0CD4"/>
    <w:rsid w:val="00CD7381"/>
    <w:rsid w:val="00CE3B9F"/>
    <w:rsid w:val="00CF6DD0"/>
    <w:rsid w:val="00D0057B"/>
    <w:rsid w:val="00D11F25"/>
    <w:rsid w:val="00D13053"/>
    <w:rsid w:val="00D23794"/>
    <w:rsid w:val="00D27113"/>
    <w:rsid w:val="00D33A3D"/>
    <w:rsid w:val="00D34DCC"/>
    <w:rsid w:val="00D419B1"/>
    <w:rsid w:val="00D430DF"/>
    <w:rsid w:val="00D472C2"/>
    <w:rsid w:val="00D52113"/>
    <w:rsid w:val="00D7444E"/>
    <w:rsid w:val="00D74DCE"/>
    <w:rsid w:val="00D842D0"/>
    <w:rsid w:val="00D917C5"/>
    <w:rsid w:val="00DB1C36"/>
    <w:rsid w:val="00DC1E60"/>
    <w:rsid w:val="00DD106B"/>
    <w:rsid w:val="00DD60CC"/>
    <w:rsid w:val="00DD71CB"/>
    <w:rsid w:val="00E10F0A"/>
    <w:rsid w:val="00E33B0E"/>
    <w:rsid w:val="00E34A3F"/>
    <w:rsid w:val="00E43E79"/>
    <w:rsid w:val="00E527B7"/>
    <w:rsid w:val="00E52A5D"/>
    <w:rsid w:val="00E53CB5"/>
    <w:rsid w:val="00E53CCD"/>
    <w:rsid w:val="00E8519C"/>
    <w:rsid w:val="00E8777E"/>
    <w:rsid w:val="00E97A59"/>
    <w:rsid w:val="00EA1DE4"/>
    <w:rsid w:val="00EA3798"/>
    <w:rsid w:val="00EA3A24"/>
    <w:rsid w:val="00EB5A07"/>
    <w:rsid w:val="00ED042F"/>
    <w:rsid w:val="00ED1D6C"/>
    <w:rsid w:val="00ED5EF3"/>
    <w:rsid w:val="00EE3E8A"/>
    <w:rsid w:val="00F003D3"/>
    <w:rsid w:val="00F03226"/>
    <w:rsid w:val="00F03E32"/>
    <w:rsid w:val="00F31023"/>
    <w:rsid w:val="00F332C0"/>
    <w:rsid w:val="00F42E75"/>
    <w:rsid w:val="00F52D16"/>
    <w:rsid w:val="00F63BD9"/>
    <w:rsid w:val="00F6694C"/>
    <w:rsid w:val="00F8110C"/>
    <w:rsid w:val="00F90757"/>
    <w:rsid w:val="00F9269E"/>
    <w:rsid w:val="00F96F18"/>
    <w:rsid w:val="00FA7B67"/>
    <w:rsid w:val="00FB7FE4"/>
    <w:rsid w:val="00FC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352240"/>
  <w15:docId w15:val="{8C7D6613-3F05-40EB-80B5-BF892857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aliases w:val="Bullets"/>
    <w:basedOn w:val="a"/>
    <w:link w:val="af4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5">
    <w:name w:val="Hyperlink"/>
    <w:basedOn w:val="a0"/>
    <w:uiPriority w:val="99"/>
    <w:unhideWhenUsed/>
    <w:rsid w:val="001D3A55"/>
    <w:rPr>
      <w:color w:val="0000FF" w:themeColor="hyperlink"/>
      <w:u w:val="single"/>
    </w:rPr>
  </w:style>
  <w:style w:type="character" w:customStyle="1" w:styleId="FontStyle22">
    <w:name w:val="Font Style22"/>
    <w:rsid w:val="00BB7DB8"/>
    <w:rPr>
      <w:rFonts w:ascii="Times New Roman" w:hAnsi="Times New Roman"/>
      <w:sz w:val="26"/>
    </w:rPr>
  </w:style>
  <w:style w:type="character" w:customStyle="1" w:styleId="rvts23">
    <w:name w:val="rvts23"/>
    <w:basedOn w:val="a0"/>
    <w:rsid w:val="00BB7DB8"/>
  </w:style>
  <w:style w:type="character" w:customStyle="1" w:styleId="af4">
    <w:name w:val="Абзац списку Знак"/>
    <w:aliases w:val="Bullets Знак"/>
    <w:link w:val="af3"/>
    <w:uiPriority w:val="34"/>
    <w:locked/>
    <w:rsid w:val="00BB7DB8"/>
    <w:rPr>
      <w:rFonts w:ascii="Times New Roman" w:hAnsi="Times New Roman" w:cs="Times New Roman"/>
      <w:sz w:val="28"/>
      <w:szCs w:val="28"/>
      <w:lang w:eastAsia="uk-UA"/>
    </w:rPr>
  </w:style>
  <w:style w:type="character" w:styleId="af6">
    <w:name w:val="annotation reference"/>
    <w:basedOn w:val="a0"/>
    <w:uiPriority w:val="99"/>
    <w:semiHidden/>
    <w:unhideWhenUsed/>
    <w:rsid w:val="006B4C5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B4C53"/>
    <w:rPr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semiHidden/>
    <w:rsid w:val="006B4C53"/>
    <w:rPr>
      <w:rFonts w:ascii="Times New Roman" w:hAnsi="Times New Roman" w:cs="Times New Roman"/>
      <w:sz w:val="20"/>
      <w:szCs w:val="20"/>
      <w:lang w:eastAsia="uk-U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B4C53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6B4C53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customStyle="1" w:styleId="xmsonormal">
    <w:name w:val="x_msonormal"/>
    <w:basedOn w:val="a"/>
    <w:rsid w:val="000318EB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bu@bank.gov.u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bu\tech\TEMPLATES\OFFICE\00_&#1045;&#1083;&#1077;&#1082;&#1090;&#1088;&#1086;&#1085;&#1085;&#1077;%20&#1087;&#1086;&#1074;i&#1076;&#1086;&#1084;&#1083;&#1077;&#1085;&#1085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BF23D6-35ED-4A96-9E06-7839AD703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00FB8-A10E-44B0-9C83-47490034BE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9EC275-FE20-46E4-9D38-1303E87B9C8D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210615B-FDD6-4D23-B0E3-57744E4CC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00_Електронне повiдомлення</Template>
  <TotalTime>1</TotalTime>
  <Pages>2</Pages>
  <Words>342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Лівшун Оксана Володимирівна</dc:creator>
  <cp:lastModifiedBy>Кашук Юлія Валеріївна</cp:lastModifiedBy>
  <cp:revision>4</cp:revision>
  <cp:lastPrinted>2023-07-04T07:51:00Z</cp:lastPrinted>
  <dcterms:created xsi:type="dcterms:W3CDTF">2026-03-06T07:44:00Z</dcterms:created>
  <dcterms:modified xsi:type="dcterms:W3CDTF">2026-03-06T07:45:00Z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