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E0AA5" w14:textId="77777777" w:rsidR="00E443CF" w:rsidRPr="00B73144" w:rsidRDefault="00E443CF" w:rsidP="00B5282C">
      <w:pPr>
        <w:pStyle w:val="a4"/>
        <w:spacing w:before="0" w:beforeAutospacing="0" w:after="0" w:afterAutospacing="0"/>
        <w:jc w:val="center"/>
        <w:rPr>
          <w:b/>
          <w:color w:val="000000" w:themeColor="text1"/>
          <w:sz w:val="28"/>
          <w:szCs w:val="28"/>
        </w:rPr>
      </w:pPr>
      <w:r w:rsidRPr="00B73144">
        <w:rPr>
          <w:b/>
          <w:color w:val="000000" w:themeColor="text1"/>
          <w:sz w:val="28"/>
          <w:szCs w:val="28"/>
        </w:rPr>
        <w:t>Порівняльна таблиця</w:t>
      </w:r>
    </w:p>
    <w:p w14:paraId="7C8B485C" w14:textId="4E6B4ED5" w:rsidR="00E443CF" w:rsidRDefault="00E443CF" w:rsidP="00B5282C">
      <w:pPr>
        <w:pStyle w:val="a4"/>
        <w:spacing w:before="0" w:beforeAutospacing="0" w:after="0" w:afterAutospacing="0"/>
        <w:ind w:firstLine="709"/>
        <w:jc w:val="center"/>
        <w:rPr>
          <w:rFonts w:eastAsia="SimSun"/>
          <w:b/>
          <w:color w:val="000000" w:themeColor="text1"/>
          <w:sz w:val="28"/>
          <w:szCs w:val="28"/>
        </w:rPr>
      </w:pPr>
      <w:r w:rsidRPr="00B73144">
        <w:rPr>
          <w:b/>
          <w:color w:val="000000" w:themeColor="text1"/>
          <w:sz w:val="28"/>
          <w:szCs w:val="28"/>
        </w:rPr>
        <w:t xml:space="preserve">до проєкту постанови </w:t>
      </w:r>
      <w:r w:rsidRPr="00B73144">
        <w:rPr>
          <w:rFonts w:eastAsia="SimSun"/>
          <w:b/>
          <w:color w:val="000000" w:themeColor="text1"/>
          <w:sz w:val="28"/>
          <w:szCs w:val="28"/>
        </w:rPr>
        <w:t xml:space="preserve">Правління Національного банку України </w:t>
      </w:r>
      <w:r w:rsidRPr="00A72532">
        <w:rPr>
          <w:rFonts w:eastAsia="SimSun"/>
          <w:b/>
          <w:color w:val="000000" w:themeColor="text1"/>
          <w:sz w:val="28"/>
          <w:szCs w:val="28"/>
        </w:rPr>
        <w:t>“</w:t>
      </w:r>
      <w:r w:rsidR="00DF5012" w:rsidRPr="00A72532">
        <w:rPr>
          <w:rFonts w:eastAsia="SimSun"/>
          <w:b/>
          <w:color w:val="000000" w:themeColor="text1"/>
          <w:sz w:val="28"/>
          <w:szCs w:val="28"/>
        </w:rPr>
        <w:t xml:space="preserve">Про </w:t>
      </w:r>
      <w:r w:rsidR="00467815">
        <w:rPr>
          <w:rFonts w:eastAsia="SimSun"/>
          <w:b/>
          <w:color w:val="000000" w:themeColor="text1"/>
          <w:sz w:val="28"/>
          <w:szCs w:val="28"/>
        </w:rPr>
        <w:t>затвердження</w:t>
      </w:r>
      <w:r w:rsidR="00467815" w:rsidRPr="00A72532">
        <w:rPr>
          <w:rFonts w:eastAsia="SimSun"/>
          <w:b/>
          <w:color w:val="000000" w:themeColor="text1"/>
          <w:sz w:val="28"/>
          <w:szCs w:val="28"/>
        </w:rPr>
        <w:t xml:space="preserve"> </w:t>
      </w:r>
      <w:r w:rsidR="00467815">
        <w:rPr>
          <w:rFonts w:eastAsia="SimSun"/>
          <w:b/>
          <w:color w:val="000000" w:themeColor="text1"/>
          <w:sz w:val="28"/>
          <w:szCs w:val="28"/>
        </w:rPr>
        <w:t>З</w:t>
      </w:r>
      <w:r w:rsidR="00DF5012" w:rsidRPr="00A72532">
        <w:rPr>
          <w:rFonts w:eastAsia="SimSun"/>
          <w:b/>
          <w:color w:val="000000" w:themeColor="text1"/>
          <w:sz w:val="28"/>
          <w:szCs w:val="28"/>
        </w:rPr>
        <w:t>мін до Положення про встановлення вимог щодо забезпечення платоспроможності та інвестиційної діяльності страховика</w:t>
      </w:r>
      <w:r w:rsidR="00226DE3" w:rsidRPr="00A72532">
        <w:rPr>
          <w:rFonts w:eastAsia="SimSun"/>
          <w:b/>
          <w:color w:val="000000" w:themeColor="text1"/>
          <w:sz w:val="28"/>
          <w:szCs w:val="28"/>
        </w:rPr>
        <w:t>”</w:t>
      </w:r>
    </w:p>
    <w:p w14:paraId="05BC2E07" w14:textId="77777777" w:rsidR="0096139C" w:rsidRPr="00B73144" w:rsidRDefault="0096139C" w:rsidP="00B5282C">
      <w:pPr>
        <w:pStyle w:val="a4"/>
        <w:spacing w:before="0" w:beforeAutospacing="0" w:after="0" w:afterAutospacing="0"/>
        <w:ind w:firstLine="709"/>
        <w:jc w:val="center"/>
        <w:rPr>
          <w:rFonts w:eastAsia="SimSun"/>
          <w:b/>
          <w:color w:val="000000" w:themeColor="text1"/>
          <w:sz w:val="28"/>
          <w:szCs w:val="28"/>
        </w:rPr>
      </w:pPr>
    </w:p>
    <w:tbl>
      <w:tblPr>
        <w:tblStyle w:val="a3"/>
        <w:tblW w:w="5062" w:type="pct"/>
        <w:tblBorders>
          <w:bottom w:val="none" w:sz="0" w:space="0" w:color="auto"/>
        </w:tblBorders>
        <w:tblLook w:val="04A0" w:firstRow="1" w:lastRow="0" w:firstColumn="1" w:lastColumn="0" w:noHBand="0" w:noVBand="1"/>
      </w:tblPr>
      <w:tblGrid>
        <w:gridCol w:w="705"/>
        <w:gridCol w:w="6874"/>
        <w:gridCol w:w="6874"/>
      </w:tblGrid>
      <w:tr w:rsidR="00B73144" w:rsidRPr="00B73144" w14:paraId="65551070" w14:textId="77777777" w:rsidTr="00897A99">
        <w:tc>
          <w:tcPr>
            <w:tcW w:w="244" w:type="pct"/>
          </w:tcPr>
          <w:p w14:paraId="424503F1" w14:textId="77777777" w:rsidR="001E5C9D" w:rsidRPr="00B73144" w:rsidRDefault="001E5C9D" w:rsidP="00B5282C">
            <w:pPr>
              <w:pStyle w:val="a4"/>
              <w:spacing w:before="0" w:beforeAutospacing="0" w:after="0" w:afterAutospacing="0"/>
              <w:jc w:val="center"/>
              <w:rPr>
                <w:color w:val="000000" w:themeColor="text1"/>
                <w:sz w:val="28"/>
                <w:szCs w:val="28"/>
              </w:rPr>
            </w:pPr>
            <w:r w:rsidRPr="00B73144">
              <w:rPr>
                <w:color w:val="000000" w:themeColor="text1"/>
                <w:sz w:val="28"/>
                <w:szCs w:val="28"/>
              </w:rPr>
              <w:t>№ з/п</w:t>
            </w:r>
          </w:p>
        </w:tc>
        <w:tc>
          <w:tcPr>
            <w:tcW w:w="2378" w:type="pct"/>
            <w:hideMark/>
          </w:tcPr>
          <w:p w14:paraId="6CB4FA88" w14:textId="77777777" w:rsidR="001E5C9D" w:rsidRPr="00B73144" w:rsidRDefault="001E5C9D" w:rsidP="00B5282C">
            <w:pPr>
              <w:pStyle w:val="a4"/>
              <w:spacing w:before="0" w:beforeAutospacing="0" w:after="0" w:afterAutospacing="0"/>
              <w:jc w:val="center"/>
              <w:rPr>
                <w:color w:val="000000" w:themeColor="text1"/>
                <w:sz w:val="28"/>
                <w:szCs w:val="28"/>
              </w:rPr>
            </w:pPr>
            <w:r w:rsidRPr="00B73144">
              <w:rPr>
                <w:color w:val="000000" w:themeColor="text1"/>
                <w:sz w:val="28"/>
                <w:szCs w:val="28"/>
              </w:rPr>
              <w:t xml:space="preserve">Зміст положення (норми) чинного нормативно-правового </w:t>
            </w:r>
            <w:proofErr w:type="spellStart"/>
            <w:r w:rsidRPr="00B73144">
              <w:rPr>
                <w:color w:val="000000" w:themeColor="text1"/>
                <w:sz w:val="28"/>
                <w:szCs w:val="28"/>
              </w:rPr>
              <w:t>акта</w:t>
            </w:r>
            <w:proofErr w:type="spellEnd"/>
          </w:p>
        </w:tc>
        <w:tc>
          <w:tcPr>
            <w:tcW w:w="2378" w:type="pct"/>
            <w:hideMark/>
          </w:tcPr>
          <w:p w14:paraId="75FC2645" w14:textId="77777777" w:rsidR="001E5C9D" w:rsidRPr="00B73144" w:rsidRDefault="001E5C9D" w:rsidP="00B5282C">
            <w:pPr>
              <w:pStyle w:val="a4"/>
              <w:spacing w:before="0" w:beforeAutospacing="0" w:after="0" w:afterAutospacing="0"/>
              <w:jc w:val="center"/>
              <w:rPr>
                <w:color w:val="000000" w:themeColor="text1"/>
                <w:sz w:val="28"/>
                <w:szCs w:val="28"/>
              </w:rPr>
            </w:pPr>
            <w:r w:rsidRPr="00B73144">
              <w:rPr>
                <w:color w:val="000000" w:themeColor="text1"/>
                <w:sz w:val="28"/>
                <w:szCs w:val="28"/>
              </w:rPr>
              <w:t xml:space="preserve">Зміст відповідного положення (норми) проєкту нормативно-правового </w:t>
            </w:r>
            <w:proofErr w:type="spellStart"/>
            <w:r w:rsidRPr="00B73144">
              <w:rPr>
                <w:color w:val="000000" w:themeColor="text1"/>
                <w:sz w:val="28"/>
                <w:szCs w:val="28"/>
              </w:rPr>
              <w:t>акта</w:t>
            </w:r>
            <w:proofErr w:type="spellEnd"/>
          </w:p>
        </w:tc>
      </w:tr>
    </w:tbl>
    <w:p w14:paraId="0B647DC5" w14:textId="77777777" w:rsidR="00D01832" w:rsidRPr="00B73144" w:rsidRDefault="00D01832" w:rsidP="00B5282C">
      <w:pPr>
        <w:pStyle w:val="a4"/>
        <w:tabs>
          <w:tab w:val="left" w:pos="4789"/>
        </w:tabs>
        <w:spacing w:before="0" w:beforeAutospacing="0" w:after="0" w:afterAutospacing="0"/>
        <w:ind w:left="113"/>
        <w:rPr>
          <w:color w:val="000000" w:themeColor="text1"/>
          <w:sz w:val="2"/>
          <w:szCs w:val="2"/>
        </w:rPr>
      </w:pPr>
      <w:r w:rsidRPr="00B73144">
        <w:rPr>
          <w:color w:val="000000" w:themeColor="text1"/>
          <w:sz w:val="2"/>
          <w:szCs w:val="2"/>
        </w:rPr>
        <w:tab/>
      </w:r>
    </w:p>
    <w:tbl>
      <w:tblPr>
        <w:tblStyle w:val="a3"/>
        <w:tblW w:w="14454" w:type="dxa"/>
        <w:tblLayout w:type="fixed"/>
        <w:tblLook w:val="04A0" w:firstRow="1" w:lastRow="0" w:firstColumn="1" w:lastColumn="0" w:noHBand="0" w:noVBand="1"/>
      </w:tblPr>
      <w:tblGrid>
        <w:gridCol w:w="704"/>
        <w:gridCol w:w="6875"/>
        <w:gridCol w:w="6875"/>
      </w:tblGrid>
      <w:tr w:rsidR="00B73144" w:rsidRPr="00B73144" w14:paraId="76085142" w14:textId="77777777" w:rsidTr="00897A99">
        <w:trPr>
          <w:trHeight w:val="20"/>
          <w:tblHeader/>
        </w:trPr>
        <w:tc>
          <w:tcPr>
            <w:tcW w:w="704" w:type="dxa"/>
          </w:tcPr>
          <w:p w14:paraId="2939A351" w14:textId="77777777" w:rsidR="001E5C9D" w:rsidRPr="00B73144" w:rsidRDefault="001E5C9D" w:rsidP="00B5282C">
            <w:pPr>
              <w:pStyle w:val="a4"/>
              <w:widowControl w:val="0"/>
              <w:spacing w:before="0" w:beforeAutospacing="0" w:after="0" w:afterAutospacing="0"/>
              <w:jc w:val="center"/>
              <w:rPr>
                <w:color w:val="000000" w:themeColor="text1"/>
                <w:sz w:val="28"/>
                <w:szCs w:val="28"/>
              </w:rPr>
            </w:pPr>
            <w:r w:rsidRPr="00B73144">
              <w:rPr>
                <w:color w:val="000000" w:themeColor="text1"/>
                <w:sz w:val="28"/>
                <w:szCs w:val="28"/>
              </w:rPr>
              <w:t>1</w:t>
            </w:r>
          </w:p>
        </w:tc>
        <w:tc>
          <w:tcPr>
            <w:tcW w:w="6875" w:type="dxa"/>
            <w:hideMark/>
          </w:tcPr>
          <w:p w14:paraId="233B2F79" w14:textId="77777777" w:rsidR="001E5C9D" w:rsidRPr="00B73144" w:rsidRDefault="001E5C9D" w:rsidP="00B5282C">
            <w:pPr>
              <w:pStyle w:val="a4"/>
              <w:widowControl w:val="0"/>
              <w:spacing w:before="0" w:beforeAutospacing="0" w:after="0" w:afterAutospacing="0"/>
              <w:ind w:right="29" w:firstLine="181"/>
              <w:jc w:val="center"/>
              <w:rPr>
                <w:color w:val="000000" w:themeColor="text1"/>
                <w:sz w:val="28"/>
                <w:szCs w:val="28"/>
              </w:rPr>
            </w:pPr>
            <w:r w:rsidRPr="00B73144">
              <w:rPr>
                <w:color w:val="000000" w:themeColor="text1"/>
                <w:sz w:val="28"/>
                <w:szCs w:val="28"/>
              </w:rPr>
              <w:t>2</w:t>
            </w:r>
          </w:p>
        </w:tc>
        <w:tc>
          <w:tcPr>
            <w:tcW w:w="6875" w:type="dxa"/>
            <w:hideMark/>
          </w:tcPr>
          <w:p w14:paraId="3098EEA7" w14:textId="77777777" w:rsidR="001E5C9D" w:rsidRPr="00B73144" w:rsidRDefault="001E5C9D" w:rsidP="00B5282C">
            <w:pPr>
              <w:pStyle w:val="a4"/>
              <w:widowControl w:val="0"/>
              <w:spacing w:before="0" w:beforeAutospacing="0" w:after="0" w:afterAutospacing="0"/>
              <w:ind w:firstLine="176"/>
              <w:jc w:val="center"/>
              <w:rPr>
                <w:color w:val="000000" w:themeColor="text1"/>
                <w:sz w:val="28"/>
                <w:szCs w:val="28"/>
              </w:rPr>
            </w:pPr>
            <w:r w:rsidRPr="00B73144">
              <w:rPr>
                <w:color w:val="000000" w:themeColor="text1"/>
                <w:sz w:val="28"/>
                <w:szCs w:val="28"/>
              </w:rPr>
              <w:t>3</w:t>
            </w:r>
          </w:p>
        </w:tc>
      </w:tr>
      <w:tr w:rsidR="00B73144" w:rsidRPr="00B73144" w14:paraId="6DFD1CC3" w14:textId="77777777" w:rsidTr="00BA5270">
        <w:trPr>
          <w:trHeight w:val="20"/>
        </w:trPr>
        <w:tc>
          <w:tcPr>
            <w:tcW w:w="704" w:type="dxa"/>
          </w:tcPr>
          <w:p w14:paraId="27CFF7E0" w14:textId="77777777" w:rsidR="00140CF9" w:rsidRPr="00B73144" w:rsidRDefault="00140CF9" w:rsidP="00DF5012">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13750" w:type="dxa"/>
            <w:gridSpan w:val="2"/>
          </w:tcPr>
          <w:p w14:paraId="706501A5" w14:textId="6E113F42" w:rsidR="00140CF9" w:rsidRPr="00B73144" w:rsidRDefault="00140CF9" w:rsidP="00DF5012">
            <w:pPr>
              <w:widowControl w:val="0"/>
              <w:ind w:firstLine="176"/>
              <w:jc w:val="center"/>
              <w:rPr>
                <w:color w:val="000000" w:themeColor="text1"/>
              </w:rPr>
            </w:pPr>
            <w:r w:rsidRPr="00B73144">
              <w:rPr>
                <w:b/>
                <w:color w:val="000000" w:themeColor="text1"/>
              </w:rPr>
              <w:t>Положення про встановлення вимог щодо забезпечення платоспроможності та інве</w:t>
            </w:r>
            <w:r w:rsidR="00DF5012" w:rsidRPr="00B73144">
              <w:rPr>
                <w:b/>
                <w:color w:val="000000" w:themeColor="text1"/>
              </w:rPr>
              <w:t>стиційної діяльності страховика, затверджене постановою Правління Національного банку України від 29 грудня 2023 року № 201 (зі змінами)</w:t>
            </w:r>
          </w:p>
        </w:tc>
      </w:tr>
      <w:tr w:rsidR="00B73144" w:rsidRPr="00B73144" w14:paraId="1702B688" w14:textId="77777777" w:rsidTr="00897A99">
        <w:trPr>
          <w:trHeight w:val="20"/>
        </w:trPr>
        <w:tc>
          <w:tcPr>
            <w:tcW w:w="704" w:type="dxa"/>
          </w:tcPr>
          <w:p w14:paraId="762A306E" w14:textId="77777777" w:rsidR="00AC0AFC" w:rsidRPr="00B73144" w:rsidRDefault="00AC0AFC" w:rsidP="00AC0AFC">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6875" w:type="dxa"/>
          </w:tcPr>
          <w:p w14:paraId="40181936"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34. Державні цінні папери, крім облігацій зовнішніх державних позик України, придбаних/набутих у власність з 01 січня 2024 року, а також дебіторська заборгованість за нарахованими відсотками за такими державними цінними паперами включаються до суми прийнятних активів.</w:t>
            </w:r>
          </w:p>
          <w:p w14:paraId="479E439F"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0" w:name="n218"/>
            <w:bookmarkEnd w:id="0"/>
            <w:r w:rsidRPr="00B73144">
              <w:rPr>
                <w:color w:val="000000" w:themeColor="text1"/>
                <w:sz w:val="28"/>
                <w:szCs w:val="28"/>
              </w:rPr>
              <w:t>Державні цінні папери, зазначені в абзаці першому</w:t>
            </w:r>
            <w:r w:rsidRPr="00835C23">
              <w:rPr>
                <w:color w:val="000000" w:themeColor="text1"/>
                <w:sz w:val="28"/>
                <w:szCs w:val="28"/>
                <w:lang w:val="ru-RU"/>
              </w:rPr>
              <w:t xml:space="preserve"> </w:t>
            </w:r>
            <w:r w:rsidRPr="00B73144">
              <w:rPr>
                <w:color w:val="000000" w:themeColor="text1"/>
                <w:sz w:val="28"/>
                <w:szCs w:val="28"/>
              </w:rPr>
              <w:t>пункту 34</w:t>
            </w:r>
            <w:r w:rsidRPr="00835C23">
              <w:rPr>
                <w:color w:val="000000" w:themeColor="text1"/>
                <w:sz w:val="28"/>
                <w:szCs w:val="28"/>
                <w:lang w:val="ru-RU"/>
              </w:rPr>
              <w:t xml:space="preserve"> </w:t>
            </w:r>
            <w:r w:rsidRPr="00B73144">
              <w:rPr>
                <w:color w:val="000000" w:themeColor="text1"/>
                <w:sz w:val="28"/>
                <w:szCs w:val="28"/>
              </w:rPr>
              <w:t>глави 6 розділу II цього Положення, включаються до суми прийнятних активів за умови, якщо право власності страховика на такі цінні папери підтверджено документально відповідно до законодавства України.</w:t>
            </w:r>
          </w:p>
          <w:p w14:paraId="4B90DF46" w14:textId="3D10648C" w:rsidR="00AC0AFC" w:rsidRPr="00B73144" w:rsidRDefault="00AC0AFC" w:rsidP="00AC0AFC">
            <w:pPr>
              <w:pStyle w:val="rvps2"/>
              <w:shd w:val="clear" w:color="auto" w:fill="FFFFFF"/>
              <w:spacing w:before="0" w:beforeAutospacing="0" w:after="0" w:afterAutospacing="0"/>
              <w:ind w:firstLine="448"/>
              <w:jc w:val="both"/>
              <w:rPr>
                <w:b/>
                <w:color w:val="000000" w:themeColor="text1"/>
                <w:sz w:val="28"/>
                <w:szCs w:val="28"/>
                <w:lang w:val="en-US"/>
              </w:rPr>
            </w:pPr>
            <w:r w:rsidRPr="00B73144">
              <w:rPr>
                <w:b/>
                <w:color w:val="000000" w:themeColor="text1"/>
                <w:sz w:val="28"/>
                <w:szCs w:val="28"/>
              </w:rPr>
              <w:t>відсутній</w:t>
            </w:r>
          </w:p>
        </w:tc>
        <w:tc>
          <w:tcPr>
            <w:tcW w:w="6875" w:type="dxa"/>
          </w:tcPr>
          <w:p w14:paraId="0855677B"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34. Державні цінні папери, крім облігацій зовнішніх державних позик України, придбаних/набутих у власність з 01 січня 2024 року, а також дебіторська заборгованість за нарахованими відсотками за такими державними цінними паперами включаються до суми прийнятних активів.</w:t>
            </w:r>
          </w:p>
          <w:p w14:paraId="2168C60D" w14:textId="77777777" w:rsidR="00AC0AFC" w:rsidRPr="00B73144" w:rsidRDefault="00AC0AFC" w:rsidP="00AC0AFC">
            <w:pPr>
              <w:widowControl w:val="0"/>
              <w:ind w:firstLine="176"/>
              <w:rPr>
                <w:color w:val="000000" w:themeColor="text1"/>
              </w:rPr>
            </w:pPr>
            <w:r w:rsidRPr="00B73144">
              <w:rPr>
                <w:color w:val="000000" w:themeColor="text1"/>
              </w:rPr>
              <w:t>Державні цінні папери, зазначені в абзаці першому</w:t>
            </w:r>
            <w:r w:rsidRPr="00835C23">
              <w:rPr>
                <w:color w:val="000000" w:themeColor="text1"/>
                <w:lang w:val="ru-RU"/>
              </w:rPr>
              <w:t xml:space="preserve"> </w:t>
            </w:r>
            <w:r w:rsidRPr="00B73144">
              <w:rPr>
                <w:color w:val="000000" w:themeColor="text1"/>
              </w:rPr>
              <w:t>пункту 34</w:t>
            </w:r>
            <w:r w:rsidRPr="00835C23">
              <w:rPr>
                <w:color w:val="000000" w:themeColor="text1"/>
                <w:lang w:val="ru-RU"/>
              </w:rPr>
              <w:t xml:space="preserve"> </w:t>
            </w:r>
            <w:r w:rsidRPr="00B73144">
              <w:rPr>
                <w:color w:val="000000" w:themeColor="text1"/>
              </w:rPr>
              <w:t>глави 6 розділу II цього Положення, включаються до суми прийнятних активів за умови, якщо право власності страховика на такі цінні папери підтверджено документально відповідно до законодавства України.</w:t>
            </w:r>
          </w:p>
          <w:p w14:paraId="0FD26F40" w14:textId="0D317230" w:rsidR="00AC0AFC" w:rsidRPr="00B73144" w:rsidRDefault="00DE2619" w:rsidP="003F6577">
            <w:pPr>
              <w:widowControl w:val="0"/>
              <w:ind w:firstLine="176"/>
              <w:rPr>
                <w:color w:val="000000" w:themeColor="text1"/>
              </w:rPr>
            </w:pPr>
            <w:r w:rsidRPr="00B73144">
              <w:rPr>
                <w:b/>
                <w:color w:val="000000" w:themeColor="text1"/>
              </w:rPr>
              <w:t xml:space="preserve">Облігації зовнішніх державних позик України, набуті у власність страховика </w:t>
            </w:r>
            <w:r w:rsidR="00C507CF">
              <w:rPr>
                <w:b/>
                <w:color w:val="000000" w:themeColor="text1"/>
              </w:rPr>
              <w:t xml:space="preserve">після 01 січня </w:t>
            </w:r>
            <w:r w:rsidRPr="00B73144">
              <w:rPr>
                <w:b/>
                <w:color w:val="000000" w:themeColor="text1"/>
              </w:rPr>
              <w:t>202</w:t>
            </w:r>
            <w:r w:rsidR="00C507CF">
              <w:rPr>
                <w:b/>
                <w:color w:val="000000" w:themeColor="text1"/>
              </w:rPr>
              <w:t>4</w:t>
            </w:r>
            <w:r w:rsidRPr="00B73144">
              <w:rPr>
                <w:b/>
                <w:color w:val="000000" w:themeColor="text1"/>
              </w:rPr>
              <w:t xml:space="preserve"> року внаслідок </w:t>
            </w:r>
            <w:r w:rsidR="009E37A2">
              <w:rPr>
                <w:b/>
                <w:color w:val="000000" w:themeColor="text1"/>
              </w:rPr>
              <w:t xml:space="preserve">здійснення </w:t>
            </w:r>
            <w:r w:rsidRPr="00B73144">
              <w:rPr>
                <w:b/>
                <w:color w:val="000000" w:themeColor="text1"/>
              </w:rPr>
              <w:t>п</w:t>
            </w:r>
            <w:r w:rsidRPr="00B72440">
              <w:rPr>
                <w:b/>
                <w:color w:val="000000" w:themeColor="text1"/>
              </w:rPr>
              <w:t xml:space="preserve">равочинів з </w:t>
            </w:r>
            <w:r w:rsidR="009E37A2" w:rsidRPr="00B72440">
              <w:rPr>
                <w:b/>
                <w:color w:val="000000" w:themeColor="text1"/>
              </w:rPr>
              <w:t xml:space="preserve">державним боргом </w:t>
            </w:r>
            <w:r w:rsidRPr="00B72440">
              <w:rPr>
                <w:b/>
                <w:color w:val="000000" w:themeColor="text1"/>
              </w:rPr>
              <w:t xml:space="preserve">відповідно до </w:t>
            </w:r>
            <w:r w:rsidR="008D4341" w:rsidRPr="00B72440">
              <w:rPr>
                <w:b/>
                <w:color w:val="000000" w:themeColor="text1"/>
              </w:rPr>
              <w:t>О</w:t>
            </w:r>
            <w:r w:rsidR="009E37A2" w:rsidRPr="00B72440">
              <w:rPr>
                <w:b/>
                <w:color w:val="000000" w:themeColor="text1"/>
              </w:rPr>
              <w:t xml:space="preserve">сновних </w:t>
            </w:r>
            <w:r w:rsidRPr="00B72440">
              <w:rPr>
                <w:b/>
                <w:color w:val="000000" w:themeColor="text1"/>
              </w:rPr>
              <w:t>умов</w:t>
            </w:r>
            <w:r w:rsidR="009E37A2" w:rsidRPr="00B72440">
              <w:rPr>
                <w:b/>
                <w:color w:val="000000" w:themeColor="text1"/>
              </w:rPr>
              <w:t xml:space="preserve"> правочинів з </w:t>
            </w:r>
            <w:r w:rsidR="009E37A2" w:rsidRPr="00B72440">
              <w:rPr>
                <w:b/>
                <w:color w:val="000000" w:themeColor="text1"/>
              </w:rPr>
              <w:lastRenderedPageBreak/>
              <w:t>державним борго</w:t>
            </w:r>
            <w:r w:rsidR="00602778" w:rsidRPr="00B72440">
              <w:rPr>
                <w:b/>
                <w:color w:val="000000" w:themeColor="text1"/>
              </w:rPr>
              <w:t>м, які здійснюються у 2024 році</w:t>
            </w:r>
            <w:r w:rsidR="009C7149">
              <w:rPr>
                <w:b/>
                <w:color w:val="000000" w:themeColor="text1"/>
              </w:rPr>
              <w:t>, та умов</w:t>
            </w:r>
            <w:r w:rsidR="00B72440" w:rsidRPr="00B72440">
              <w:rPr>
                <w:b/>
                <w:color w:val="000000" w:themeColor="text1"/>
              </w:rPr>
              <w:t xml:space="preserve"> правочину щодо переведення гарантованого державою боргу за запозиченнями, залученими у 2021 році під державні гарантії з метою фінансового забезпечення розвитку мережі та утримання автомобільних доріг загального користування державного значення (облігації (єврооблігації), до державного боргу, у зв’язку з якими здійснюється розміщення (емісія) облігацій зовнішніх державних позик України 2024 року</w:t>
            </w:r>
            <w:r w:rsidRPr="00B72440">
              <w:rPr>
                <w:b/>
                <w:color w:val="000000" w:themeColor="text1"/>
              </w:rPr>
              <w:t xml:space="preserve">, </w:t>
            </w:r>
            <w:r w:rsidR="00B72440">
              <w:rPr>
                <w:b/>
                <w:color w:val="000000" w:themeColor="text1"/>
              </w:rPr>
              <w:t>затверджених</w:t>
            </w:r>
            <w:r w:rsidR="00834773">
              <w:rPr>
                <w:b/>
                <w:color w:val="000000" w:themeColor="text1"/>
                <w:shd w:val="clear" w:color="auto" w:fill="FFFFFF"/>
              </w:rPr>
              <w:t xml:space="preserve"> </w:t>
            </w:r>
            <w:r w:rsidR="007F37E6">
              <w:rPr>
                <w:b/>
                <w:color w:val="000000" w:themeColor="text1"/>
                <w:shd w:val="clear" w:color="auto" w:fill="FFFFFF"/>
              </w:rPr>
              <w:t>постанов</w:t>
            </w:r>
            <w:r w:rsidR="00B72440">
              <w:rPr>
                <w:b/>
                <w:color w:val="000000" w:themeColor="text1"/>
                <w:shd w:val="clear" w:color="auto" w:fill="FFFFFF"/>
              </w:rPr>
              <w:t>ою</w:t>
            </w:r>
            <w:r w:rsidR="007F37E6">
              <w:rPr>
                <w:b/>
                <w:color w:val="000000" w:themeColor="text1"/>
                <w:shd w:val="clear" w:color="auto" w:fill="FFFFFF"/>
              </w:rPr>
              <w:t xml:space="preserve"> </w:t>
            </w:r>
            <w:r w:rsidRPr="00B73144">
              <w:rPr>
                <w:b/>
                <w:color w:val="000000" w:themeColor="text1"/>
                <w:shd w:val="clear" w:color="auto" w:fill="FFFFFF"/>
              </w:rPr>
              <w:t>Кабінет</w:t>
            </w:r>
            <w:r w:rsidR="007F37E6">
              <w:rPr>
                <w:b/>
                <w:color w:val="000000" w:themeColor="text1"/>
                <w:shd w:val="clear" w:color="auto" w:fill="FFFFFF"/>
              </w:rPr>
              <w:t>у</w:t>
            </w:r>
            <w:r w:rsidRPr="00B73144">
              <w:rPr>
                <w:b/>
                <w:color w:val="000000" w:themeColor="text1"/>
                <w:shd w:val="clear" w:color="auto" w:fill="FFFFFF"/>
              </w:rPr>
              <w:t xml:space="preserve"> </w:t>
            </w:r>
            <w:r w:rsidR="009E37A2">
              <w:rPr>
                <w:b/>
                <w:color w:val="000000" w:themeColor="text1"/>
                <w:shd w:val="clear" w:color="auto" w:fill="FFFFFF"/>
              </w:rPr>
              <w:t>М</w:t>
            </w:r>
            <w:r w:rsidRPr="00B73144">
              <w:rPr>
                <w:b/>
                <w:color w:val="000000" w:themeColor="text1"/>
                <w:shd w:val="clear" w:color="auto" w:fill="FFFFFF"/>
              </w:rPr>
              <w:t>іністрів України</w:t>
            </w:r>
            <w:r w:rsidR="00D320CE">
              <w:rPr>
                <w:b/>
                <w:color w:val="000000" w:themeColor="text1"/>
                <w:shd w:val="clear" w:color="auto" w:fill="FFFFFF"/>
              </w:rPr>
              <w:t xml:space="preserve"> </w:t>
            </w:r>
            <w:r w:rsidR="00B72440">
              <w:rPr>
                <w:b/>
                <w:color w:val="000000" w:themeColor="text1"/>
                <w:shd w:val="clear" w:color="auto" w:fill="FFFFFF"/>
              </w:rPr>
              <w:t>від 31 ли</w:t>
            </w:r>
            <w:r w:rsidR="003F6577">
              <w:rPr>
                <w:b/>
                <w:color w:val="000000" w:themeColor="text1"/>
                <w:shd w:val="clear" w:color="auto" w:fill="FFFFFF"/>
              </w:rPr>
              <w:t>пня 2024 року № 865</w:t>
            </w:r>
            <w:r w:rsidR="00FB7E1C">
              <w:rPr>
                <w:b/>
                <w:color w:val="000000" w:themeColor="text1"/>
                <w:shd w:val="clear" w:color="auto" w:fill="FFFFFF"/>
              </w:rPr>
              <w:t>,</w:t>
            </w:r>
            <w:bookmarkStart w:id="1" w:name="_GoBack"/>
            <w:bookmarkEnd w:id="1"/>
            <w:r w:rsidR="00B72440">
              <w:rPr>
                <w:b/>
                <w:color w:val="000000" w:themeColor="text1"/>
                <w:shd w:val="clear" w:color="auto" w:fill="FFFFFF"/>
              </w:rPr>
              <w:t xml:space="preserve"> </w:t>
            </w:r>
            <w:r w:rsidR="00D320CE">
              <w:rPr>
                <w:b/>
                <w:color w:val="000000" w:themeColor="text1"/>
                <w:shd w:val="clear" w:color="auto" w:fill="FFFFFF"/>
              </w:rPr>
              <w:t xml:space="preserve">та </w:t>
            </w:r>
            <w:r w:rsidR="00BD3CD8">
              <w:rPr>
                <w:b/>
                <w:color w:val="000000" w:themeColor="text1"/>
                <w:shd w:val="clear" w:color="auto" w:fill="FFFFFF"/>
              </w:rPr>
              <w:t xml:space="preserve">умов, </w:t>
            </w:r>
            <w:r w:rsidR="00B72440">
              <w:rPr>
                <w:b/>
                <w:color w:val="000000" w:themeColor="text1"/>
                <w:shd w:val="clear" w:color="auto" w:fill="FFFFFF"/>
              </w:rPr>
              <w:t xml:space="preserve">встановлених у </w:t>
            </w:r>
            <w:r w:rsidR="003F6577">
              <w:rPr>
                <w:b/>
                <w:color w:val="000000" w:themeColor="text1"/>
                <w:shd w:val="clear" w:color="auto" w:fill="FFFFFF"/>
              </w:rPr>
              <w:t>м</w:t>
            </w:r>
            <w:r w:rsidR="007F37E6" w:rsidRPr="007F37E6">
              <w:rPr>
                <w:b/>
                <w:color w:val="000000" w:themeColor="text1"/>
                <w:shd w:val="clear" w:color="auto" w:fill="FFFFFF"/>
              </w:rPr>
              <w:t xml:space="preserve">еморандумі </w:t>
            </w:r>
            <w:r w:rsidR="003F6577">
              <w:rPr>
                <w:b/>
                <w:color w:val="000000" w:themeColor="text1"/>
                <w:shd w:val="clear" w:color="auto" w:fill="FFFFFF"/>
              </w:rPr>
              <w:t>у зв’язку з</w:t>
            </w:r>
            <w:r w:rsidR="003F6577" w:rsidRPr="007F37E6">
              <w:rPr>
                <w:b/>
                <w:color w:val="000000" w:themeColor="text1"/>
                <w:shd w:val="clear" w:color="auto" w:fill="FFFFFF"/>
              </w:rPr>
              <w:t xml:space="preserve"> </w:t>
            </w:r>
            <w:r w:rsidR="007F37E6" w:rsidRPr="007F37E6">
              <w:rPr>
                <w:b/>
                <w:color w:val="000000" w:themeColor="text1"/>
                <w:shd w:val="clear" w:color="auto" w:fill="FFFFFF"/>
              </w:rPr>
              <w:t>пропозиці</w:t>
            </w:r>
            <w:r w:rsidR="003F6577">
              <w:rPr>
                <w:b/>
                <w:color w:val="000000" w:themeColor="text1"/>
                <w:shd w:val="clear" w:color="auto" w:fill="FFFFFF"/>
              </w:rPr>
              <w:t>є</w:t>
            </w:r>
            <w:r w:rsidR="007F37E6" w:rsidRPr="007F37E6">
              <w:rPr>
                <w:b/>
                <w:color w:val="000000" w:themeColor="text1"/>
                <w:shd w:val="clear" w:color="auto" w:fill="FFFFFF"/>
              </w:rPr>
              <w:t xml:space="preserve">ю </w:t>
            </w:r>
            <w:r w:rsidR="003F6577">
              <w:rPr>
                <w:b/>
                <w:color w:val="000000" w:themeColor="text1"/>
                <w:shd w:val="clear" w:color="auto" w:fill="FFFFFF"/>
              </w:rPr>
              <w:t xml:space="preserve">щодо </w:t>
            </w:r>
            <w:r w:rsidR="007F37E6" w:rsidRPr="007F37E6">
              <w:rPr>
                <w:b/>
                <w:color w:val="000000" w:themeColor="text1"/>
                <w:shd w:val="clear" w:color="auto" w:fill="FFFFFF"/>
              </w:rPr>
              <w:t xml:space="preserve">обміну та </w:t>
            </w:r>
            <w:r w:rsidR="003F6577">
              <w:rPr>
                <w:b/>
                <w:color w:val="000000" w:themeColor="text1"/>
                <w:shd w:val="clear" w:color="auto" w:fill="FFFFFF"/>
              </w:rPr>
              <w:t>отриманням</w:t>
            </w:r>
            <w:r w:rsidR="007F37E6" w:rsidRPr="007F37E6">
              <w:rPr>
                <w:b/>
                <w:color w:val="000000" w:themeColor="text1"/>
                <w:shd w:val="clear" w:color="auto" w:fill="FFFFFF"/>
              </w:rPr>
              <w:t xml:space="preserve"> згод</w:t>
            </w:r>
            <w:r w:rsidR="003F6577">
              <w:rPr>
                <w:b/>
                <w:color w:val="000000" w:themeColor="text1"/>
                <w:shd w:val="clear" w:color="auto" w:fill="FFFFFF"/>
              </w:rPr>
              <w:t>и</w:t>
            </w:r>
            <w:r w:rsidR="00AE6031" w:rsidRPr="00B73144">
              <w:rPr>
                <w:b/>
                <w:color w:val="000000" w:themeColor="text1"/>
                <w:shd w:val="clear" w:color="auto" w:fill="FFFFFF"/>
              </w:rPr>
              <w:t xml:space="preserve">, </w:t>
            </w:r>
            <w:r w:rsidR="001F18E7">
              <w:rPr>
                <w:b/>
                <w:color w:val="000000" w:themeColor="text1"/>
                <w:shd w:val="clear" w:color="auto" w:fill="FFFFFF"/>
              </w:rPr>
              <w:t xml:space="preserve">замість </w:t>
            </w:r>
            <w:r w:rsidR="00D320CE">
              <w:rPr>
                <w:b/>
                <w:color w:val="000000" w:themeColor="text1"/>
                <w:shd w:val="clear" w:color="auto" w:fill="FFFFFF"/>
              </w:rPr>
              <w:t>облігацій зовнішньої державної позики України, придбаних / набутих у власність стр</w:t>
            </w:r>
            <w:r w:rsidR="009E37A2">
              <w:rPr>
                <w:b/>
                <w:color w:val="000000" w:themeColor="text1"/>
                <w:shd w:val="clear" w:color="auto" w:fill="FFFFFF"/>
              </w:rPr>
              <w:t>аховика до 31 грудня 2023 року,</w:t>
            </w:r>
            <w:r w:rsidR="00D320CE">
              <w:rPr>
                <w:b/>
                <w:color w:val="000000" w:themeColor="text1"/>
                <w:shd w:val="clear" w:color="auto" w:fill="FFFFFF"/>
              </w:rPr>
              <w:t xml:space="preserve"> </w:t>
            </w:r>
            <w:r w:rsidR="00AE6031" w:rsidRPr="00B73144">
              <w:rPr>
                <w:b/>
                <w:color w:val="000000" w:themeColor="text1"/>
              </w:rPr>
              <w:t>включаються до суми прийнятних активів</w:t>
            </w:r>
            <w:r w:rsidRPr="00B73144">
              <w:rPr>
                <w:b/>
                <w:color w:val="000000" w:themeColor="text1"/>
                <w:shd w:val="clear" w:color="auto" w:fill="FFFFFF"/>
              </w:rPr>
              <w:t>.</w:t>
            </w:r>
            <w:r w:rsidRPr="00B73144">
              <w:rPr>
                <w:color w:val="000000" w:themeColor="text1"/>
              </w:rPr>
              <w:t xml:space="preserve"> </w:t>
            </w:r>
          </w:p>
        </w:tc>
      </w:tr>
      <w:tr w:rsidR="00B73144" w:rsidRPr="00B73144" w14:paraId="43667136" w14:textId="77777777" w:rsidTr="00897A99">
        <w:trPr>
          <w:trHeight w:val="20"/>
        </w:trPr>
        <w:tc>
          <w:tcPr>
            <w:tcW w:w="704" w:type="dxa"/>
          </w:tcPr>
          <w:p w14:paraId="22454E91" w14:textId="77777777" w:rsidR="00AC0AFC" w:rsidRPr="00B73144" w:rsidRDefault="00AC0AFC" w:rsidP="00AC0AFC">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6875" w:type="dxa"/>
          </w:tcPr>
          <w:p w14:paraId="5DFCBA3C"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36. Технічні резерви за договорами вихідного перестрахування, що зазначаються в активах у даних регуляторної звітності, </w:t>
            </w:r>
            <w:r w:rsidRPr="009C7149">
              <w:rPr>
                <w:b/>
                <w:strike/>
                <w:color w:val="000000" w:themeColor="text1"/>
                <w:sz w:val="28"/>
                <w:szCs w:val="28"/>
              </w:rPr>
              <w:t xml:space="preserve">складеної відповідно до вимог нормативно-правового </w:t>
            </w:r>
            <w:proofErr w:type="spellStart"/>
            <w:r w:rsidRPr="009C7149">
              <w:rPr>
                <w:b/>
                <w:strike/>
                <w:color w:val="000000" w:themeColor="text1"/>
                <w:sz w:val="28"/>
                <w:szCs w:val="28"/>
              </w:rPr>
              <w:t>акта</w:t>
            </w:r>
            <w:proofErr w:type="spellEnd"/>
            <w:r w:rsidRPr="009C7149">
              <w:rPr>
                <w:b/>
                <w:strike/>
                <w:color w:val="000000" w:themeColor="text1"/>
                <w:sz w:val="28"/>
                <w:szCs w:val="28"/>
              </w:rPr>
              <w:t xml:space="preserve"> Національного банку з питань подання звітності небанківськими фінансовими установами до Національного банку,</w:t>
            </w:r>
            <w:r w:rsidRPr="00B73144">
              <w:rPr>
                <w:color w:val="000000" w:themeColor="text1"/>
                <w:sz w:val="28"/>
                <w:szCs w:val="28"/>
              </w:rPr>
              <w:t xml:space="preserve"> включаються до суми прийнятних активів.</w:t>
            </w:r>
          </w:p>
          <w:p w14:paraId="0C7B7A21"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bookmarkStart w:id="2" w:name="n223"/>
            <w:bookmarkEnd w:id="2"/>
          </w:p>
          <w:p w14:paraId="5258C346"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269E583D"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4971206A"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76AE2827"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297D03C4"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6A8B8ACE"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6515E957"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5B312E7C"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18515ABD"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45D268FB"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0699D4D4" w14:textId="77777777" w:rsidR="00543514" w:rsidRDefault="00543514" w:rsidP="00AC0AFC">
            <w:pPr>
              <w:pStyle w:val="rvps2"/>
              <w:shd w:val="clear" w:color="auto" w:fill="FFFFFF"/>
              <w:spacing w:before="0" w:beforeAutospacing="0" w:after="0" w:afterAutospacing="0"/>
              <w:ind w:firstLine="448"/>
              <w:jc w:val="both"/>
              <w:rPr>
                <w:color w:val="000000" w:themeColor="text1"/>
                <w:sz w:val="28"/>
                <w:szCs w:val="28"/>
              </w:rPr>
            </w:pPr>
          </w:p>
          <w:p w14:paraId="43816ECE" w14:textId="23BFBE46"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Технічні резерви за договорами вихідного перестрахування, зазначеними в абзаці першому пункту 36 глави 6 розділу II цього Положення, що укладені зі страховиками (</w:t>
            </w:r>
            <w:proofErr w:type="spellStart"/>
            <w:r w:rsidRPr="00B73144">
              <w:rPr>
                <w:color w:val="000000" w:themeColor="text1"/>
                <w:sz w:val="28"/>
                <w:szCs w:val="28"/>
              </w:rPr>
              <w:t>перестраховиками</w:t>
            </w:r>
            <w:proofErr w:type="spellEnd"/>
            <w:r w:rsidRPr="00B73144">
              <w:rPr>
                <w:color w:val="000000" w:themeColor="text1"/>
                <w:sz w:val="28"/>
                <w:szCs w:val="28"/>
              </w:rPr>
              <w:t>)-нерезидентами, включаються до суми прийнятних активів у разі виконання принаймні однієї з таких умов:</w:t>
            </w:r>
          </w:p>
          <w:p w14:paraId="5784BAF6"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3" w:name="n224"/>
            <w:bookmarkEnd w:id="3"/>
            <w:r w:rsidRPr="00B73144">
              <w:rPr>
                <w:color w:val="000000" w:themeColor="text1"/>
                <w:sz w:val="28"/>
                <w:szCs w:val="28"/>
              </w:rPr>
              <w:t>1) рейтинг фінансової надійності (стійкості)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відповідає рівню рейтингів не нижчому, ніж за класифікацією таких міжнародних рейтингових агентств:</w:t>
            </w:r>
          </w:p>
          <w:p w14:paraId="1A055F50"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4" w:name="n225"/>
            <w:bookmarkEnd w:id="4"/>
            <w:r w:rsidRPr="00B73144">
              <w:rPr>
                <w:color w:val="000000" w:themeColor="text1"/>
                <w:sz w:val="28"/>
                <w:szCs w:val="28"/>
              </w:rPr>
              <w:t>“Baa1” [</w:t>
            </w:r>
            <w:proofErr w:type="spellStart"/>
            <w:r w:rsidRPr="00B73144">
              <w:rPr>
                <w:color w:val="000000" w:themeColor="text1"/>
                <w:sz w:val="28"/>
                <w:szCs w:val="28"/>
              </w:rPr>
              <w:t>Moody’s</w:t>
            </w:r>
            <w:proofErr w:type="spellEnd"/>
            <w:r w:rsidRPr="00B73144">
              <w:rPr>
                <w:color w:val="000000" w:themeColor="text1"/>
                <w:sz w:val="28"/>
                <w:szCs w:val="28"/>
              </w:rPr>
              <w:t xml:space="preserve"> </w:t>
            </w:r>
            <w:proofErr w:type="spellStart"/>
            <w:r w:rsidRPr="00B73144">
              <w:rPr>
                <w:color w:val="000000" w:themeColor="text1"/>
                <w:sz w:val="28"/>
                <w:szCs w:val="28"/>
              </w:rPr>
              <w:t>Investors</w:t>
            </w:r>
            <w:proofErr w:type="spellEnd"/>
            <w:r w:rsidRPr="00B73144">
              <w:rPr>
                <w:color w:val="000000" w:themeColor="text1"/>
                <w:sz w:val="28"/>
                <w:szCs w:val="28"/>
              </w:rPr>
              <w:t xml:space="preserve"> </w:t>
            </w:r>
            <w:proofErr w:type="spellStart"/>
            <w:r w:rsidRPr="00B73144">
              <w:rPr>
                <w:color w:val="000000" w:themeColor="text1"/>
                <w:sz w:val="28"/>
                <w:szCs w:val="28"/>
              </w:rPr>
              <w:t>Service</w:t>
            </w:r>
            <w:proofErr w:type="spellEnd"/>
            <w:r w:rsidRPr="00B73144">
              <w:rPr>
                <w:color w:val="000000" w:themeColor="text1"/>
                <w:sz w:val="28"/>
                <w:szCs w:val="28"/>
              </w:rPr>
              <w:t xml:space="preserve"> (США)];</w:t>
            </w:r>
          </w:p>
          <w:p w14:paraId="65B62E3B"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5" w:name="n514"/>
            <w:bookmarkStart w:id="6" w:name="n226"/>
            <w:bookmarkEnd w:id="5"/>
            <w:bookmarkEnd w:id="6"/>
            <w:r w:rsidRPr="00B73144">
              <w:rPr>
                <w:color w:val="000000" w:themeColor="text1"/>
                <w:sz w:val="28"/>
                <w:szCs w:val="28"/>
              </w:rPr>
              <w:t xml:space="preserve">“BBB+” [Standard &amp; </w:t>
            </w:r>
            <w:proofErr w:type="spellStart"/>
            <w:r w:rsidRPr="00B73144">
              <w:rPr>
                <w:color w:val="000000" w:themeColor="text1"/>
                <w:sz w:val="28"/>
                <w:szCs w:val="28"/>
              </w:rPr>
              <w:t>Poor’s</w:t>
            </w:r>
            <w:proofErr w:type="spellEnd"/>
            <w:r w:rsidRPr="00B73144">
              <w:rPr>
                <w:color w:val="000000" w:themeColor="text1"/>
                <w:sz w:val="28"/>
                <w:szCs w:val="28"/>
              </w:rPr>
              <w:t xml:space="preserve"> (США)];</w:t>
            </w:r>
          </w:p>
          <w:p w14:paraId="5B9193D2"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7" w:name="n515"/>
            <w:bookmarkStart w:id="8" w:name="n227"/>
            <w:bookmarkEnd w:id="7"/>
            <w:bookmarkEnd w:id="8"/>
            <w:r w:rsidRPr="00B73144">
              <w:rPr>
                <w:color w:val="000000" w:themeColor="text1"/>
                <w:sz w:val="28"/>
                <w:szCs w:val="28"/>
              </w:rPr>
              <w:t>“BBB+” [</w:t>
            </w:r>
            <w:proofErr w:type="spellStart"/>
            <w:r w:rsidRPr="00B73144">
              <w:rPr>
                <w:color w:val="000000" w:themeColor="text1"/>
                <w:sz w:val="28"/>
                <w:szCs w:val="28"/>
              </w:rPr>
              <w:t>Fitch</w:t>
            </w:r>
            <w:proofErr w:type="spellEnd"/>
            <w:r w:rsidRPr="00B73144">
              <w:rPr>
                <w:color w:val="000000" w:themeColor="text1"/>
                <w:sz w:val="28"/>
                <w:szCs w:val="28"/>
              </w:rPr>
              <w:t xml:space="preserve"> </w:t>
            </w:r>
            <w:proofErr w:type="spellStart"/>
            <w:r w:rsidRPr="00B73144">
              <w:rPr>
                <w:color w:val="000000" w:themeColor="text1"/>
                <w:sz w:val="28"/>
                <w:szCs w:val="28"/>
              </w:rPr>
              <w:t>Ratings</w:t>
            </w:r>
            <w:proofErr w:type="spellEnd"/>
            <w:r w:rsidRPr="00B73144">
              <w:rPr>
                <w:color w:val="000000" w:themeColor="text1"/>
                <w:sz w:val="28"/>
                <w:szCs w:val="28"/>
              </w:rPr>
              <w:t xml:space="preserve"> (Великобританія)];</w:t>
            </w:r>
          </w:p>
          <w:p w14:paraId="1B44ABFD"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9" w:name="n516"/>
            <w:bookmarkStart w:id="10" w:name="n228"/>
            <w:bookmarkEnd w:id="9"/>
            <w:bookmarkEnd w:id="10"/>
            <w:r w:rsidRPr="00B73144">
              <w:rPr>
                <w:color w:val="000000" w:themeColor="text1"/>
                <w:sz w:val="28"/>
                <w:szCs w:val="28"/>
              </w:rPr>
              <w:t xml:space="preserve">“B++” [A.M. </w:t>
            </w:r>
            <w:proofErr w:type="spellStart"/>
            <w:r w:rsidRPr="00B73144">
              <w:rPr>
                <w:color w:val="000000" w:themeColor="text1"/>
                <w:sz w:val="28"/>
                <w:szCs w:val="28"/>
              </w:rPr>
              <w:t>Best</w:t>
            </w:r>
            <w:proofErr w:type="spellEnd"/>
            <w:r w:rsidRPr="00B73144">
              <w:rPr>
                <w:color w:val="000000" w:themeColor="text1"/>
                <w:sz w:val="28"/>
                <w:szCs w:val="28"/>
              </w:rPr>
              <w:t xml:space="preserve"> (США)].</w:t>
            </w:r>
          </w:p>
          <w:p w14:paraId="329C551E" w14:textId="55C76E6B"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11" w:name="n517"/>
            <w:bookmarkStart w:id="12" w:name="n229"/>
            <w:bookmarkEnd w:id="11"/>
            <w:bookmarkEnd w:id="12"/>
            <w:r w:rsidRPr="00B73144">
              <w:rPr>
                <w:color w:val="000000" w:themeColor="text1"/>
                <w:sz w:val="28"/>
                <w:szCs w:val="28"/>
              </w:rPr>
              <w:lastRenderedPageBreak/>
              <w:t>Рейтинг фінансової надійності (стійкості)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підтверджується наявністю в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рейтингу одного з міжнародних рейтингових агентств відповідно до переліку, наведеного в підпункті 1 пункту 36 глави 6 розділу II цього Положення.</w:t>
            </w:r>
          </w:p>
          <w:p w14:paraId="327A2BCD" w14:textId="53BD19C0"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13" w:name="n230"/>
            <w:bookmarkEnd w:id="13"/>
            <w:r w:rsidRPr="00B73144">
              <w:rPr>
                <w:color w:val="000000" w:themeColor="text1"/>
                <w:sz w:val="28"/>
                <w:szCs w:val="28"/>
              </w:rPr>
              <w:t>Усі рейтинги фінансової надійності (стійкості)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якщо такі рейтинги присвоєно більше ніж одним міжнародним рейтинговим агентством, повинні відповідати вимогам щодо рівня рейтингу фінансової надійності (стійкості), зазначеним у підпункті 1 пункту 36 глави 6 розділу II цього Положення.</w:t>
            </w:r>
          </w:p>
          <w:p w14:paraId="13EF3164"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14" w:name="n231"/>
            <w:bookmarkEnd w:id="14"/>
            <w:r w:rsidRPr="00B73144">
              <w:rPr>
                <w:color w:val="000000" w:themeColor="text1"/>
                <w:sz w:val="28"/>
                <w:szCs w:val="28"/>
              </w:rPr>
              <w:t>Рейтинг фінансової надійності (стійкості)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 xml:space="preserve">)-нерезидента підтверджується страховиком (перестрахувальником) інформацією, розміщеною на офіційних </w:t>
            </w:r>
            <w:proofErr w:type="spellStart"/>
            <w:r w:rsidRPr="00B73144">
              <w:rPr>
                <w:color w:val="000000" w:themeColor="text1"/>
                <w:sz w:val="28"/>
                <w:szCs w:val="28"/>
              </w:rPr>
              <w:t>вебсайтах</w:t>
            </w:r>
            <w:proofErr w:type="spellEnd"/>
            <w:r w:rsidRPr="00B73144">
              <w:rPr>
                <w:color w:val="000000" w:themeColor="text1"/>
                <w:sz w:val="28"/>
                <w:szCs w:val="28"/>
              </w:rPr>
              <w:t xml:space="preserve"> міжнародних рейтингових агентств у мережі Інтернет або на офіційному </w:t>
            </w:r>
            <w:proofErr w:type="spellStart"/>
            <w:r w:rsidRPr="00B73144">
              <w:rPr>
                <w:color w:val="000000" w:themeColor="text1"/>
                <w:sz w:val="28"/>
                <w:szCs w:val="28"/>
              </w:rPr>
              <w:t>вебсайті</w:t>
            </w:r>
            <w:proofErr w:type="spellEnd"/>
            <w:r w:rsidRPr="00B73144">
              <w:rPr>
                <w:color w:val="000000" w:themeColor="text1"/>
                <w:sz w:val="28"/>
                <w:szCs w:val="28"/>
              </w:rPr>
              <w:t xml:space="preserve"> такого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у мережі Інтернет, або інформацією, отриманою від такого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w:t>
            </w:r>
          </w:p>
          <w:p w14:paraId="5A467B9B" w14:textId="09775345"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15" w:name="n232"/>
            <w:bookmarkEnd w:id="15"/>
            <w:r w:rsidRPr="00B73144">
              <w:rPr>
                <w:color w:val="000000" w:themeColor="text1"/>
                <w:sz w:val="28"/>
                <w:szCs w:val="28"/>
              </w:rPr>
              <w:t xml:space="preserve">Страховик переглядає відповідність рейтингу фінансової надійності (стійкості) страховика </w:t>
            </w:r>
            <w:r w:rsidRPr="00B73144">
              <w:rPr>
                <w:color w:val="000000" w:themeColor="text1"/>
                <w:sz w:val="28"/>
                <w:szCs w:val="28"/>
              </w:rPr>
              <w:lastRenderedPageBreak/>
              <w:t>(</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вимогам щодо рівня рейтингу фінансової надійності (стійкості), встановленим у підпункті 1 пункту 36 глави 6 розділу II цього Положення [включаючи отримання актуальної інформації від такого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якщо страховик використовує такий спосіб підтвердження рейтингу фінансової надійності (стійкості)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не рідше ніж на кожну дату, на яку складається фінансова звітність, та враховує цю інформацію під час визначення суми прийнятних активів;</w:t>
            </w:r>
          </w:p>
          <w:p w14:paraId="5D00BE93"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16" w:name="n233"/>
            <w:bookmarkEnd w:id="16"/>
            <w:r w:rsidRPr="00B73144">
              <w:rPr>
                <w:color w:val="000000" w:themeColor="text1"/>
                <w:sz w:val="28"/>
                <w:szCs w:val="28"/>
              </w:rPr>
              <w:t>2) страховик (</w:t>
            </w:r>
            <w:proofErr w:type="spellStart"/>
            <w:r w:rsidRPr="00B73144">
              <w:rPr>
                <w:color w:val="000000" w:themeColor="text1"/>
                <w:sz w:val="28"/>
                <w:szCs w:val="28"/>
              </w:rPr>
              <w:t>перестраховик</w:t>
            </w:r>
            <w:proofErr w:type="spellEnd"/>
            <w:r w:rsidRPr="00B73144">
              <w:rPr>
                <w:color w:val="000000" w:themeColor="text1"/>
                <w:sz w:val="28"/>
                <w:szCs w:val="28"/>
              </w:rPr>
              <w:t>)-нерезидент:</w:t>
            </w:r>
          </w:p>
          <w:p w14:paraId="009C025F"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17" w:name="n234"/>
            <w:bookmarkEnd w:id="17"/>
            <w:r w:rsidRPr="00B73144">
              <w:rPr>
                <w:color w:val="000000" w:themeColor="text1"/>
                <w:sz w:val="28"/>
                <w:szCs w:val="28"/>
              </w:rPr>
              <w:t>має досвід провадження безперервної страхової (</w:t>
            </w:r>
            <w:proofErr w:type="spellStart"/>
            <w:r w:rsidRPr="00B73144">
              <w:rPr>
                <w:color w:val="000000" w:themeColor="text1"/>
                <w:sz w:val="28"/>
                <w:szCs w:val="28"/>
              </w:rPr>
              <w:t>перестрахової</w:t>
            </w:r>
            <w:proofErr w:type="spellEnd"/>
            <w:r w:rsidRPr="00B73144">
              <w:rPr>
                <w:color w:val="000000" w:themeColor="text1"/>
                <w:sz w:val="28"/>
                <w:szCs w:val="28"/>
              </w:rPr>
              <w:t>) діяльності не менше ніж три роки до дати укладення договору перестрахування з таким страховиком (</w:t>
            </w:r>
            <w:proofErr w:type="spellStart"/>
            <w:r w:rsidRPr="00B73144">
              <w:rPr>
                <w:color w:val="000000" w:themeColor="text1"/>
                <w:sz w:val="28"/>
                <w:szCs w:val="28"/>
              </w:rPr>
              <w:t>перестраховиком</w:t>
            </w:r>
            <w:proofErr w:type="spellEnd"/>
            <w:r w:rsidRPr="00B73144">
              <w:rPr>
                <w:color w:val="000000" w:themeColor="text1"/>
                <w:sz w:val="28"/>
                <w:szCs w:val="28"/>
              </w:rPr>
              <w:t>) нерезидентом та</w:t>
            </w:r>
          </w:p>
          <w:p w14:paraId="7C139860"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18" w:name="n235"/>
            <w:bookmarkEnd w:id="18"/>
            <w:r w:rsidRPr="00B73144">
              <w:rPr>
                <w:color w:val="000000" w:themeColor="text1"/>
                <w:sz w:val="28"/>
                <w:szCs w:val="28"/>
              </w:rPr>
              <w:t xml:space="preserve">зареєстрований в державі, законодавством якої передбачено державний нагляд за страховою і </w:t>
            </w:r>
            <w:proofErr w:type="spellStart"/>
            <w:r w:rsidRPr="00B73144">
              <w:rPr>
                <w:color w:val="000000" w:themeColor="text1"/>
                <w:sz w:val="28"/>
                <w:szCs w:val="28"/>
              </w:rPr>
              <w:t>перестраховою</w:t>
            </w:r>
            <w:proofErr w:type="spellEnd"/>
            <w:r w:rsidRPr="00B73144">
              <w:rPr>
                <w:color w:val="000000" w:themeColor="text1"/>
                <w:sz w:val="28"/>
                <w:szCs w:val="28"/>
              </w:rPr>
              <w:t xml:space="preserve"> діяльністю.</w:t>
            </w:r>
          </w:p>
          <w:p w14:paraId="0CC0AC2B" w14:textId="54495844"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19" w:name="n236"/>
            <w:bookmarkEnd w:id="19"/>
            <w:r w:rsidRPr="00B73144">
              <w:rPr>
                <w:color w:val="000000" w:themeColor="text1"/>
                <w:sz w:val="28"/>
                <w:szCs w:val="28"/>
              </w:rPr>
              <w:t>Вимоги, зазначені в підпунктах 1, 2 пункту 36 глави 6 розділу II цього Положення, не застосовуються до технічних резервів за договорами вихідного перестрахування з розміщення ризиків в іноземних ядерних пулах за дорученням членів об’єднання “Ядерний страховий пул”.</w:t>
            </w:r>
          </w:p>
        </w:tc>
        <w:tc>
          <w:tcPr>
            <w:tcW w:w="6875" w:type="dxa"/>
          </w:tcPr>
          <w:p w14:paraId="76B7605C" w14:textId="6EF01711"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lastRenderedPageBreak/>
              <w:t xml:space="preserve">36. </w:t>
            </w:r>
            <w:r w:rsidRPr="00C60A27">
              <w:rPr>
                <w:color w:val="000000" w:themeColor="text1"/>
                <w:sz w:val="28"/>
                <w:szCs w:val="28"/>
              </w:rPr>
              <w:t>Технічні резерви за договорами вихідного перестрахування</w:t>
            </w:r>
            <w:r w:rsidR="00D16627" w:rsidRPr="00D16627">
              <w:rPr>
                <w:b/>
                <w:color w:val="333333"/>
                <w:sz w:val="28"/>
              </w:rPr>
              <w:t xml:space="preserve"> </w:t>
            </w:r>
            <w:r w:rsidR="00D16627" w:rsidRPr="00CE1807">
              <w:rPr>
                <w:b/>
                <w:color w:val="333333"/>
                <w:sz w:val="28"/>
              </w:rPr>
              <w:t>[</w:t>
            </w:r>
            <w:r w:rsidR="00D16627">
              <w:rPr>
                <w:b/>
                <w:color w:val="333333"/>
                <w:sz w:val="28"/>
              </w:rPr>
              <w:t xml:space="preserve">включаючи технічні резерви </w:t>
            </w:r>
            <w:r w:rsidR="00D16627" w:rsidRPr="00D16627">
              <w:rPr>
                <w:b/>
                <w:sz w:val="28"/>
              </w:rPr>
              <w:t xml:space="preserve">за договорами, які передбачають передачу повністю або частково зобов’язань страховика за договорами страхування ризиків втрати та/або пошкодження активів та/або втрати (повної або часткової) доходів від таких активів на території України внаслідок війни, воєнних дій, бойових дій, терористичних </w:t>
            </w:r>
            <w:r w:rsidR="00D16627" w:rsidRPr="00D16627">
              <w:rPr>
                <w:b/>
                <w:sz w:val="28"/>
              </w:rPr>
              <w:lastRenderedPageBreak/>
              <w:t>актів, диверсій, спричинених збройною агресією проти України, укладеними із нерезидентами - юридичними особами, до складу учасників (акціонерів, засновників) яких входить іноземна держава (крім держави, яка здійснює збройну агресію проти України), та які виступають стороною таких договорів</w:t>
            </w:r>
            <w:r w:rsidR="00543514">
              <w:rPr>
                <w:b/>
                <w:sz w:val="28"/>
              </w:rPr>
              <w:t xml:space="preserve"> (далі – технічні резерви за договорами перестрахування воєнн</w:t>
            </w:r>
            <w:r w:rsidR="000B0E45">
              <w:rPr>
                <w:b/>
                <w:sz w:val="28"/>
              </w:rPr>
              <w:t xml:space="preserve">их  та </w:t>
            </w:r>
            <w:r w:rsidR="00543514">
              <w:rPr>
                <w:b/>
                <w:sz w:val="28"/>
              </w:rPr>
              <w:t>політичних ризиків)</w:t>
            </w:r>
            <w:r w:rsidR="00D16627" w:rsidRPr="00CE1807">
              <w:rPr>
                <w:b/>
                <w:sz w:val="28"/>
              </w:rPr>
              <w:t>]</w:t>
            </w:r>
            <w:r w:rsidR="00A21200">
              <w:rPr>
                <w:color w:val="000000" w:themeColor="text1"/>
                <w:sz w:val="28"/>
                <w:szCs w:val="28"/>
              </w:rPr>
              <w:t>,</w:t>
            </w:r>
            <w:r w:rsidR="00C60A27" w:rsidRPr="00C60A27">
              <w:rPr>
                <w:b/>
                <w:color w:val="000000" w:themeColor="text1"/>
              </w:rPr>
              <w:t xml:space="preserve"> </w:t>
            </w:r>
            <w:r w:rsidRPr="00C60A27">
              <w:rPr>
                <w:color w:val="000000" w:themeColor="text1"/>
                <w:sz w:val="28"/>
                <w:szCs w:val="28"/>
              </w:rPr>
              <w:t xml:space="preserve">що зазначаються в активах у даних регуляторної звітності, </w:t>
            </w:r>
            <w:r w:rsidRPr="00B73144">
              <w:rPr>
                <w:color w:val="000000" w:themeColor="text1"/>
                <w:sz w:val="28"/>
                <w:szCs w:val="28"/>
              </w:rPr>
              <w:t>включаються до суми прийнятних активів.</w:t>
            </w:r>
          </w:p>
          <w:p w14:paraId="73F898B0"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Технічні резерви за договорами вихідного перестрахування, зазначеними в абзаці першому пункту 36 глави 6 розділу II цього Положення, що укладені зі страховиками (</w:t>
            </w:r>
            <w:proofErr w:type="spellStart"/>
            <w:r w:rsidRPr="00B73144">
              <w:rPr>
                <w:color w:val="000000" w:themeColor="text1"/>
                <w:sz w:val="28"/>
                <w:szCs w:val="28"/>
              </w:rPr>
              <w:t>перестраховиками</w:t>
            </w:r>
            <w:proofErr w:type="spellEnd"/>
            <w:r w:rsidRPr="00B73144">
              <w:rPr>
                <w:color w:val="000000" w:themeColor="text1"/>
                <w:sz w:val="28"/>
                <w:szCs w:val="28"/>
              </w:rPr>
              <w:t>)-нерезидентами, включаються до суми прийнятних активів у разі виконання принаймні однієї з таких умов:</w:t>
            </w:r>
          </w:p>
          <w:p w14:paraId="23068E1A"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1) рейтинг фінансової надійності (стійкості)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відповідає рівню рейтингів не нижчому, ніж за класифікацією таких міжнародних рейтингових агентств:</w:t>
            </w:r>
          </w:p>
          <w:p w14:paraId="4D864027"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“Baa1” [</w:t>
            </w:r>
            <w:proofErr w:type="spellStart"/>
            <w:r w:rsidRPr="00B73144">
              <w:rPr>
                <w:color w:val="000000" w:themeColor="text1"/>
                <w:sz w:val="28"/>
                <w:szCs w:val="28"/>
              </w:rPr>
              <w:t>Moody’s</w:t>
            </w:r>
            <w:proofErr w:type="spellEnd"/>
            <w:r w:rsidRPr="00B73144">
              <w:rPr>
                <w:color w:val="000000" w:themeColor="text1"/>
                <w:sz w:val="28"/>
                <w:szCs w:val="28"/>
              </w:rPr>
              <w:t xml:space="preserve"> </w:t>
            </w:r>
            <w:proofErr w:type="spellStart"/>
            <w:r w:rsidRPr="00B73144">
              <w:rPr>
                <w:color w:val="000000" w:themeColor="text1"/>
                <w:sz w:val="28"/>
                <w:szCs w:val="28"/>
              </w:rPr>
              <w:t>Investors</w:t>
            </w:r>
            <w:proofErr w:type="spellEnd"/>
            <w:r w:rsidRPr="00B73144">
              <w:rPr>
                <w:color w:val="000000" w:themeColor="text1"/>
                <w:sz w:val="28"/>
                <w:szCs w:val="28"/>
              </w:rPr>
              <w:t xml:space="preserve"> </w:t>
            </w:r>
            <w:proofErr w:type="spellStart"/>
            <w:r w:rsidRPr="00B73144">
              <w:rPr>
                <w:color w:val="000000" w:themeColor="text1"/>
                <w:sz w:val="28"/>
                <w:szCs w:val="28"/>
              </w:rPr>
              <w:t>Service</w:t>
            </w:r>
            <w:proofErr w:type="spellEnd"/>
            <w:r w:rsidRPr="00B73144">
              <w:rPr>
                <w:color w:val="000000" w:themeColor="text1"/>
                <w:sz w:val="28"/>
                <w:szCs w:val="28"/>
              </w:rPr>
              <w:t xml:space="preserve"> (США)];</w:t>
            </w:r>
          </w:p>
          <w:p w14:paraId="325807AA"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“BBB+” [Standard &amp; </w:t>
            </w:r>
            <w:proofErr w:type="spellStart"/>
            <w:r w:rsidRPr="00B73144">
              <w:rPr>
                <w:color w:val="000000" w:themeColor="text1"/>
                <w:sz w:val="28"/>
                <w:szCs w:val="28"/>
              </w:rPr>
              <w:t>Poor’s</w:t>
            </w:r>
            <w:proofErr w:type="spellEnd"/>
            <w:r w:rsidRPr="00B73144">
              <w:rPr>
                <w:color w:val="000000" w:themeColor="text1"/>
                <w:sz w:val="28"/>
                <w:szCs w:val="28"/>
              </w:rPr>
              <w:t xml:space="preserve"> (США)];</w:t>
            </w:r>
          </w:p>
          <w:p w14:paraId="762AC305"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“BBB+” [</w:t>
            </w:r>
            <w:proofErr w:type="spellStart"/>
            <w:r w:rsidRPr="00B73144">
              <w:rPr>
                <w:color w:val="000000" w:themeColor="text1"/>
                <w:sz w:val="28"/>
                <w:szCs w:val="28"/>
              </w:rPr>
              <w:t>Fitch</w:t>
            </w:r>
            <w:proofErr w:type="spellEnd"/>
            <w:r w:rsidRPr="00B73144">
              <w:rPr>
                <w:color w:val="000000" w:themeColor="text1"/>
                <w:sz w:val="28"/>
                <w:szCs w:val="28"/>
              </w:rPr>
              <w:t xml:space="preserve"> </w:t>
            </w:r>
            <w:proofErr w:type="spellStart"/>
            <w:r w:rsidRPr="00B73144">
              <w:rPr>
                <w:color w:val="000000" w:themeColor="text1"/>
                <w:sz w:val="28"/>
                <w:szCs w:val="28"/>
              </w:rPr>
              <w:t>Ratings</w:t>
            </w:r>
            <w:proofErr w:type="spellEnd"/>
            <w:r w:rsidRPr="00B73144">
              <w:rPr>
                <w:color w:val="000000" w:themeColor="text1"/>
                <w:sz w:val="28"/>
                <w:szCs w:val="28"/>
              </w:rPr>
              <w:t xml:space="preserve"> (Великобританія)];</w:t>
            </w:r>
          </w:p>
          <w:p w14:paraId="618894D8"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“B++” [A.M. </w:t>
            </w:r>
            <w:proofErr w:type="spellStart"/>
            <w:r w:rsidRPr="00B73144">
              <w:rPr>
                <w:color w:val="000000" w:themeColor="text1"/>
                <w:sz w:val="28"/>
                <w:szCs w:val="28"/>
              </w:rPr>
              <w:t>Best</w:t>
            </w:r>
            <w:proofErr w:type="spellEnd"/>
            <w:r w:rsidRPr="00B73144">
              <w:rPr>
                <w:color w:val="000000" w:themeColor="text1"/>
                <w:sz w:val="28"/>
                <w:szCs w:val="28"/>
              </w:rPr>
              <w:t xml:space="preserve"> (США)].</w:t>
            </w:r>
          </w:p>
          <w:p w14:paraId="4FC31063"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lastRenderedPageBreak/>
              <w:t>Рейтинг фінансової надійності (стійкості)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підтверджується наявністю в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рейтингу одного з міжнародних рейтингових агентств відповідно до переліку, наведеного в підпункті 1 пункту 36 глави 6 розділу II цього Положення.</w:t>
            </w:r>
          </w:p>
          <w:p w14:paraId="095891B7"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Усі рейтинги фінансової надійності (стійкості)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якщо такі рейтинги присвоєно більше ніж одним міжнародним рейтинговим агентством, повинні відповідати вимогам щодо рівня рейтингу фінансової надійності (стійкості), зазначеним у підпункті 1 пункту 36 глави 6 розділу II цього Положення.</w:t>
            </w:r>
          </w:p>
          <w:p w14:paraId="25DAD49A"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Рейтинг фінансової надійності (стійкості)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 xml:space="preserve">)-нерезидента підтверджується страховиком (перестрахувальником) інформацією, розміщеною на офіційних </w:t>
            </w:r>
            <w:proofErr w:type="spellStart"/>
            <w:r w:rsidRPr="00B73144">
              <w:rPr>
                <w:color w:val="000000" w:themeColor="text1"/>
                <w:sz w:val="28"/>
                <w:szCs w:val="28"/>
              </w:rPr>
              <w:t>вебсайтах</w:t>
            </w:r>
            <w:proofErr w:type="spellEnd"/>
            <w:r w:rsidRPr="00B73144">
              <w:rPr>
                <w:color w:val="000000" w:themeColor="text1"/>
                <w:sz w:val="28"/>
                <w:szCs w:val="28"/>
              </w:rPr>
              <w:t xml:space="preserve"> міжнародних рейтингових агентств у мережі Інтернет або на офіційному </w:t>
            </w:r>
            <w:proofErr w:type="spellStart"/>
            <w:r w:rsidRPr="00B73144">
              <w:rPr>
                <w:color w:val="000000" w:themeColor="text1"/>
                <w:sz w:val="28"/>
                <w:szCs w:val="28"/>
              </w:rPr>
              <w:t>вебсайті</w:t>
            </w:r>
            <w:proofErr w:type="spellEnd"/>
            <w:r w:rsidRPr="00B73144">
              <w:rPr>
                <w:color w:val="000000" w:themeColor="text1"/>
                <w:sz w:val="28"/>
                <w:szCs w:val="28"/>
              </w:rPr>
              <w:t xml:space="preserve"> такого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у мережі Інтернет, або інформацією, отриманою від такого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w:t>
            </w:r>
          </w:p>
          <w:p w14:paraId="571AD77C"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Страховик переглядає відповідність рейтингу фінансової надійності (стійкості) страховика </w:t>
            </w:r>
            <w:r w:rsidRPr="00B73144">
              <w:rPr>
                <w:color w:val="000000" w:themeColor="text1"/>
                <w:sz w:val="28"/>
                <w:szCs w:val="28"/>
              </w:rPr>
              <w:lastRenderedPageBreak/>
              <w:t>(</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вимогам щодо рівня рейтингу фінансової надійності (стійкості), встановленим у підпункті 1 пункту 36 глави 6 розділу II цього Положення [включаючи отримання актуальної інформації від такого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якщо страховик використовує такий спосіб підтвердження рейтингу фінансової надійності (стійкості) страховика (</w:t>
            </w:r>
            <w:proofErr w:type="spellStart"/>
            <w:r w:rsidRPr="00B73144">
              <w:rPr>
                <w:color w:val="000000" w:themeColor="text1"/>
                <w:sz w:val="28"/>
                <w:szCs w:val="28"/>
              </w:rPr>
              <w:t>перестраховика</w:t>
            </w:r>
            <w:proofErr w:type="spellEnd"/>
            <w:r w:rsidRPr="00B73144">
              <w:rPr>
                <w:color w:val="000000" w:themeColor="text1"/>
                <w:sz w:val="28"/>
                <w:szCs w:val="28"/>
              </w:rPr>
              <w:t>)-нерезидента], не рідше ніж на кожну дату, на яку складається фінансова звітність, та враховує цю інформацію під час визначення суми прийнятних активів;</w:t>
            </w:r>
          </w:p>
          <w:p w14:paraId="3BC98B16"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2) страховик (</w:t>
            </w:r>
            <w:proofErr w:type="spellStart"/>
            <w:r w:rsidRPr="00B73144">
              <w:rPr>
                <w:color w:val="000000" w:themeColor="text1"/>
                <w:sz w:val="28"/>
                <w:szCs w:val="28"/>
              </w:rPr>
              <w:t>перестраховик</w:t>
            </w:r>
            <w:proofErr w:type="spellEnd"/>
            <w:r w:rsidRPr="00B73144">
              <w:rPr>
                <w:color w:val="000000" w:themeColor="text1"/>
                <w:sz w:val="28"/>
                <w:szCs w:val="28"/>
              </w:rPr>
              <w:t>)-нерезидент:</w:t>
            </w:r>
          </w:p>
          <w:p w14:paraId="3DE99911"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має досвід провадження безперервної страхової (</w:t>
            </w:r>
            <w:proofErr w:type="spellStart"/>
            <w:r w:rsidRPr="00B73144">
              <w:rPr>
                <w:color w:val="000000" w:themeColor="text1"/>
                <w:sz w:val="28"/>
                <w:szCs w:val="28"/>
              </w:rPr>
              <w:t>перестрахової</w:t>
            </w:r>
            <w:proofErr w:type="spellEnd"/>
            <w:r w:rsidRPr="00B73144">
              <w:rPr>
                <w:color w:val="000000" w:themeColor="text1"/>
                <w:sz w:val="28"/>
                <w:szCs w:val="28"/>
              </w:rPr>
              <w:t>) діяльності не менше ніж три роки до дати укладення договору перестрахування з таким страховиком (</w:t>
            </w:r>
            <w:proofErr w:type="spellStart"/>
            <w:r w:rsidRPr="00B73144">
              <w:rPr>
                <w:color w:val="000000" w:themeColor="text1"/>
                <w:sz w:val="28"/>
                <w:szCs w:val="28"/>
              </w:rPr>
              <w:t>перестраховиком</w:t>
            </w:r>
            <w:proofErr w:type="spellEnd"/>
            <w:r w:rsidRPr="00B73144">
              <w:rPr>
                <w:color w:val="000000" w:themeColor="text1"/>
                <w:sz w:val="28"/>
                <w:szCs w:val="28"/>
              </w:rPr>
              <w:t>) нерезидентом та</w:t>
            </w:r>
          </w:p>
          <w:p w14:paraId="45A2055B" w14:textId="77777777" w:rsidR="00AB6988" w:rsidRPr="00B73144" w:rsidRDefault="00AB6988" w:rsidP="00AB6988">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зареєстрований в державі, законодавством якої передбачено державний нагляд за страховою і </w:t>
            </w:r>
            <w:proofErr w:type="spellStart"/>
            <w:r w:rsidRPr="00B73144">
              <w:rPr>
                <w:color w:val="000000" w:themeColor="text1"/>
                <w:sz w:val="28"/>
                <w:szCs w:val="28"/>
              </w:rPr>
              <w:t>перестраховою</w:t>
            </w:r>
            <w:proofErr w:type="spellEnd"/>
            <w:r w:rsidRPr="00B73144">
              <w:rPr>
                <w:color w:val="000000" w:themeColor="text1"/>
                <w:sz w:val="28"/>
                <w:szCs w:val="28"/>
              </w:rPr>
              <w:t xml:space="preserve"> діяльністю.</w:t>
            </w:r>
          </w:p>
          <w:p w14:paraId="7864859B" w14:textId="3FDE8A67" w:rsidR="003B0163" w:rsidRPr="002E6203" w:rsidRDefault="00AB6988" w:rsidP="000B0E45">
            <w:pPr>
              <w:widowControl w:val="0"/>
              <w:ind w:firstLine="176"/>
              <w:rPr>
                <w:color w:val="000000" w:themeColor="text1"/>
              </w:rPr>
            </w:pPr>
            <w:r w:rsidRPr="00B73144">
              <w:rPr>
                <w:color w:val="000000" w:themeColor="text1"/>
              </w:rPr>
              <w:t>Вимоги, зазначені в підпунктах 1, 2 пункту 36 глави 6 розділу II цього Положення, не застосовуються до технічних резервів за договорами вихідного перестрахування з розміщення ризиків в іноземних ядерних п</w:t>
            </w:r>
            <w:r w:rsidRPr="003B0163">
              <w:rPr>
                <w:color w:val="000000" w:themeColor="text1"/>
              </w:rPr>
              <w:t>улах за дорученням членів об’єднання “Ядерний страховий пул</w:t>
            </w:r>
            <w:r w:rsidRPr="00543514">
              <w:rPr>
                <w:b/>
                <w:color w:val="000000" w:themeColor="text1"/>
              </w:rPr>
              <w:t>”</w:t>
            </w:r>
            <w:r w:rsidR="00543514" w:rsidRPr="00543514">
              <w:rPr>
                <w:b/>
                <w:color w:val="000000" w:themeColor="text1"/>
              </w:rPr>
              <w:t xml:space="preserve">, а також до технічних </w:t>
            </w:r>
            <w:r w:rsidR="00543514" w:rsidRPr="00543514">
              <w:rPr>
                <w:b/>
                <w:color w:val="000000" w:themeColor="text1"/>
              </w:rPr>
              <w:lastRenderedPageBreak/>
              <w:t xml:space="preserve">резервів </w:t>
            </w:r>
            <w:r w:rsidR="00543514" w:rsidRPr="00543514">
              <w:rPr>
                <w:b/>
              </w:rPr>
              <w:t>за договорами</w:t>
            </w:r>
            <w:r w:rsidR="00543514">
              <w:rPr>
                <w:b/>
              </w:rPr>
              <w:t xml:space="preserve"> перестрахування воєнн</w:t>
            </w:r>
            <w:r w:rsidR="000B0E45">
              <w:rPr>
                <w:b/>
              </w:rPr>
              <w:t xml:space="preserve">их та </w:t>
            </w:r>
            <w:r w:rsidR="00543514">
              <w:rPr>
                <w:b/>
              </w:rPr>
              <w:t>політичних ризиків</w:t>
            </w:r>
            <w:r w:rsidRPr="003B0163">
              <w:rPr>
                <w:color w:val="000000" w:themeColor="text1"/>
              </w:rPr>
              <w:t>.</w:t>
            </w:r>
          </w:p>
        </w:tc>
      </w:tr>
      <w:tr w:rsidR="009704CA" w:rsidRPr="00B73144" w14:paraId="792F05C9" w14:textId="77777777" w:rsidTr="00897A99">
        <w:trPr>
          <w:trHeight w:val="20"/>
        </w:trPr>
        <w:tc>
          <w:tcPr>
            <w:tcW w:w="704" w:type="dxa"/>
          </w:tcPr>
          <w:p w14:paraId="1CEAA319" w14:textId="77777777" w:rsidR="009704CA" w:rsidRPr="00B73144" w:rsidRDefault="009704CA" w:rsidP="00AC0AFC">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6875" w:type="dxa"/>
          </w:tcPr>
          <w:p w14:paraId="707FC5F4" w14:textId="34F7B38D" w:rsidR="009704CA" w:rsidRPr="00B73144" w:rsidRDefault="009704CA" w:rsidP="00AC0AFC">
            <w:pPr>
              <w:pStyle w:val="rvps2"/>
              <w:shd w:val="clear" w:color="auto" w:fill="FFFFFF"/>
              <w:spacing w:before="0" w:beforeAutospacing="0" w:after="0" w:afterAutospacing="0"/>
              <w:ind w:firstLine="448"/>
              <w:jc w:val="both"/>
              <w:rPr>
                <w:color w:val="000000" w:themeColor="text1"/>
                <w:sz w:val="28"/>
                <w:szCs w:val="28"/>
              </w:rPr>
            </w:pPr>
            <w:r w:rsidRPr="009704CA">
              <w:rPr>
                <w:color w:val="000000" w:themeColor="text1"/>
                <w:sz w:val="28"/>
                <w:szCs w:val="28"/>
              </w:rPr>
              <w:t xml:space="preserve">39. </w:t>
            </w:r>
            <w:r w:rsidRPr="00C96049">
              <w:rPr>
                <w:b/>
                <w:strike/>
                <w:color w:val="000000" w:themeColor="text1"/>
                <w:sz w:val="28"/>
                <w:szCs w:val="28"/>
              </w:rPr>
              <w:t>Залишки коштів у централізованих страхових резервних фондах, що сплачені страховиками до</w:t>
            </w:r>
            <w:r w:rsidRPr="000E4048">
              <w:rPr>
                <w:strike/>
                <w:color w:val="000000" w:themeColor="text1"/>
                <w:sz w:val="28"/>
                <w:szCs w:val="28"/>
              </w:rPr>
              <w:t xml:space="preserve"> </w:t>
            </w:r>
            <w:r w:rsidRPr="00C96049">
              <w:rPr>
                <w:color w:val="000000" w:themeColor="text1"/>
                <w:sz w:val="28"/>
                <w:szCs w:val="28"/>
              </w:rPr>
              <w:t>централізованих страхових резервних фондів Моторного (транспортного) страхового бюро України відповідно до Закону України “Про обов’язкове страхування цивільно-правової відповідальності власників наземних транспортних засобів” (далі - Закон про обов’язкове страхування),</w:t>
            </w:r>
            <w:r w:rsidRPr="009704CA">
              <w:rPr>
                <w:color w:val="000000" w:themeColor="text1"/>
                <w:sz w:val="28"/>
                <w:szCs w:val="28"/>
              </w:rPr>
              <w:t xml:space="preserve"> включаються до суми прийнятних активів у розмірі, не більшому, ніж сума технічних резервів, сформованих за договорами страхування, укладеними відповідно до Закону про обов’язкове страхування.</w:t>
            </w:r>
          </w:p>
        </w:tc>
        <w:tc>
          <w:tcPr>
            <w:tcW w:w="6875" w:type="dxa"/>
          </w:tcPr>
          <w:p w14:paraId="70DA139B" w14:textId="50EAA3D5" w:rsidR="00B9121C" w:rsidRPr="00B73144" w:rsidRDefault="009704CA" w:rsidP="009A3FE2">
            <w:pPr>
              <w:pStyle w:val="rvps2"/>
              <w:shd w:val="clear" w:color="auto" w:fill="FFFFFF"/>
              <w:spacing w:before="0" w:beforeAutospacing="0" w:after="0" w:afterAutospacing="0"/>
              <w:ind w:firstLine="448"/>
              <w:jc w:val="both"/>
              <w:rPr>
                <w:color w:val="000000" w:themeColor="text1"/>
                <w:sz w:val="28"/>
                <w:szCs w:val="28"/>
              </w:rPr>
            </w:pPr>
            <w:r w:rsidRPr="009704CA">
              <w:rPr>
                <w:color w:val="000000" w:themeColor="text1"/>
                <w:sz w:val="28"/>
                <w:szCs w:val="28"/>
              </w:rPr>
              <w:t xml:space="preserve">39. </w:t>
            </w:r>
            <w:r w:rsidR="00663AC5" w:rsidRPr="000E4048">
              <w:rPr>
                <w:b/>
                <w:color w:val="000000" w:themeColor="text1"/>
                <w:sz w:val="28"/>
                <w:szCs w:val="28"/>
              </w:rPr>
              <w:t xml:space="preserve">Кошти </w:t>
            </w:r>
            <w:r w:rsidR="00663AC5" w:rsidRPr="00C96049">
              <w:rPr>
                <w:color w:val="000000" w:themeColor="text1"/>
                <w:sz w:val="28"/>
                <w:szCs w:val="28"/>
              </w:rPr>
              <w:t>централізованих страхових резервних фондів Моторного (транспортного) страхового бюро України</w:t>
            </w:r>
            <w:r w:rsidR="009A3FE2">
              <w:rPr>
                <w:color w:val="000000" w:themeColor="text1"/>
                <w:sz w:val="28"/>
                <w:szCs w:val="28"/>
              </w:rPr>
              <w:t xml:space="preserve"> </w:t>
            </w:r>
            <w:r w:rsidR="009A3FE2" w:rsidRPr="009A3FE2">
              <w:rPr>
                <w:b/>
                <w:color w:val="000000" w:themeColor="text1"/>
                <w:sz w:val="28"/>
                <w:szCs w:val="28"/>
              </w:rPr>
              <w:t>(далі – МТСБУ)</w:t>
            </w:r>
            <w:r w:rsidR="00663AC5" w:rsidRPr="000E4048">
              <w:rPr>
                <w:b/>
                <w:color w:val="000000" w:themeColor="text1"/>
                <w:sz w:val="28"/>
                <w:szCs w:val="28"/>
              </w:rPr>
              <w:t>, що обліковуються за страховиком</w:t>
            </w:r>
            <w:r w:rsidRPr="000E4048">
              <w:rPr>
                <w:b/>
                <w:color w:val="000000" w:themeColor="text1"/>
                <w:sz w:val="28"/>
                <w:szCs w:val="28"/>
              </w:rPr>
              <w:t xml:space="preserve"> у </w:t>
            </w:r>
            <w:r w:rsidR="00663AC5" w:rsidRPr="000E4048">
              <w:rPr>
                <w:b/>
                <w:color w:val="000000" w:themeColor="text1"/>
                <w:sz w:val="28"/>
                <w:szCs w:val="28"/>
              </w:rPr>
              <w:t xml:space="preserve">таких фондах </w:t>
            </w:r>
            <w:r w:rsidRPr="00C96049">
              <w:rPr>
                <w:color w:val="000000" w:themeColor="text1"/>
                <w:sz w:val="28"/>
                <w:szCs w:val="28"/>
              </w:rPr>
              <w:t>відповідно до Закону України</w:t>
            </w:r>
            <w:r w:rsidRPr="000E4048">
              <w:rPr>
                <w:b/>
                <w:color w:val="000000" w:themeColor="text1"/>
                <w:sz w:val="28"/>
                <w:szCs w:val="28"/>
              </w:rPr>
              <w:t xml:space="preserve"> </w:t>
            </w:r>
            <w:r w:rsidRPr="00C96049">
              <w:rPr>
                <w:color w:val="000000" w:themeColor="text1"/>
                <w:sz w:val="28"/>
                <w:szCs w:val="28"/>
              </w:rPr>
              <w:t>“Про обов’язкове страхування цивільно-правової відповідальності власників наземних транспортних засобів” (далі  Закон про обов’язкове страхування)</w:t>
            </w:r>
            <w:r w:rsidRPr="000E4048">
              <w:rPr>
                <w:b/>
                <w:color w:val="000000" w:themeColor="text1"/>
                <w:sz w:val="28"/>
                <w:szCs w:val="28"/>
              </w:rPr>
              <w:t xml:space="preserve">, </w:t>
            </w:r>
            <w:r w:rsidR="00663AC5" w:rsidRPr="000E4048">
              <w:rPr>
                <w:b/>
                <w:color w:val="000000" w:themeColor="text1"/>
                <w:sz w:val="28"/>
                <w:szCs w:val="28"/>
              </w:rPr>
              <w:t>а також кошт</w:t>
            </w:r>
            <w:r w:rsidR="009C7149">
              <w:rPr>
                <w:b/>
                <w:color w:val="000000" w:themeColor="text1"/>
                <w:sz w:val="28"/>
                <w:szCs w:val="28"/>
              </w:rPr>
              <w:t>и</w:t>
            </w:r>
            <w:r w:rsidR="00663AC5" w:rsidRPr="000E4048">
              <w:rPr>
                <w:b/>
                <w:color w:val="000000" w:themeColor="text1"/>
                <w:sz w:val="28"/>
                <w:szCs w:val="28"/>
              </w:rPr>
              <w:t>, що підлягають поверненню страховику з централізованих страхових резервних фондів</w:t>
            </w:r>
            <w:r w:rsidR="009A3FE2">
              <w:rPr>
                <w:b/>
                <w:color w:val="000000" w:themeColor="text1"/>
                <w:sz w:val="28"/>
                <w:szCs w:val="28"/>
              </w:rPr>
              <w:t xml:space="preserve"> МТСБУ</w:t>
            </w:r>
            <w:r w:rsidR="000B0E45" w:rsidRPr="00C96049">
              <w:rPr>
                <w:color w:val="000000" w:themeColor="text1"/>
                <w:sz w:val="28"/>
                <w:szCs w:val="28"/>
              </w:rPr>
              <w:t>,</w:t>
            </w:r>
            <w:r w:rsidR="00663AC5">
              <w:rPr>
                <w:color w:val="000000" w:themeColor="text1"/>
                <w:sz w:val="28"/>
                <w:szCs w:val="28"/>
              </w:rPr>
              <w:t xml:space="preserve"> </w:t>
            </w:r>
            <w:r w:rsidRPr="009704CA">
              <w:rPr>
                <w:color w:val="000000" w:themeColor="text1"/>
                <w:sz w:val="28"/>
                <w:szCs w:val="28"/>
              </w:rPr>
              <w:t>включаються до суми прийнятних активів у розмірі, не більшому, ніж сума технічних резервів, сформованих за договорами страхування, укладеними відповідно до Закону про обов’язкове страхування.</w:t>
            </w:r>
          </w:p>
        </w:tc>
      </w:tr>
      <w:tr w:rsidR="00B73144" w:rsidRPr="00B73144" w14:paraId="4C869F21" w14:textId="77777777" w:rsidTr="00897A99">
        <w:trPr>
          <w:trHeight w:val="20"/>
        </w:trPr>
        <w:tc>
          <w:tcPr>
            <w:tcW w:w="704" w:type="dxa"/>
          </w:tcPr>
          <w:p w14:paraId="4C11FFA8" w14:textId="77777777" w:rsidR="00AC0AFC" w:rsidRPr="00B73144" w:rsidRDefault="00AC0AFC" w:rsidP="00AC0AFC">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6875" w:type="dxa"/>
          </w:tcPr>
          <w:p w14:paraId="6A97A0C9" w14:textId="77777777" w:rsidR="00AC0AFC" w:rsidRPr="00FD32FB"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FD32FB">
              <w:rPr>
                <w:color w:val="000000" w:themeColor="text1"/>
                <w:sz w:val="28"/>
                <w:szCs w:val="28"/>
              </w:rPr>
              <w:t>40. Непрострочена дебіторська заборгованість включається до суми прийнятних активів за такими категоріями:</w:t>
            </w:r>
          </w:p>
          <w:p w14:paraId="448934C4"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1) за розміщеними грошовими коштами страховика в гарантійних фондах </w:t>
            </w:r>
            <w:proofErr w:type="spellStart"/>
            <w:r w:rsidRPr="00B73144">
              <w:rPr>
                <w:color w:val="000000" w:themeColor="text1"/>
                <w:sz w:val="28"/>
                <w:szCs w:val="28"/>
              </w:rPr>
              <w:t>асистанських</w:t>
            </w:r>
            <w:proofErr w:type="spellEnd"/>
            <w:r w:rsidRPr="00B73144">
              <w:rPr>
                <w:color w:val="000000" w:themeColor="text1"/>
                <w:sz w:val="28"/>
                <w:szCs w:val="28"/>
              </w:rPr>
              <w:t xml:space="preserve"> компаній та/або безпосередньо в гарантійних фондах закладів охорони здоров’я за умови, що відповідно до укладених із такими </w:t>
            </w:r>
            <w:proofErr w:type="spellStart"/>
            <w:r w:rsidRPr="00B73144">
              <w:rPr>
                <w:color w:val="000000" w:themeColor="text1"/>
                <w:sz w:val="28"/>
                <w:szCs w:val="28"/>
              </w:rPr>
              <w:t>асистанськими</w:t>
            </w:r>
            <w:proofErr w:type="spellEnd"/>
            <w:r w:rsidRPr="00B73144">
              <w:rPr>
                <w:color w:val="000000" w:themeColor="text1"/>
                <w:sz w:val="28"/>
                <w:szCs w:val="28"/>
              </w:rPr>
              <w:t xml:space="preserve"> компаніями, закладами охорони здоров’я договорів:</w:t>
            </w:r>
          </w:p>
          <w:p w14:paraId="5EBA25F5"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20" w:name="n242"/>
            <w:bookmarkEnd w:id="20"/>
            <w:r w:rsidRPr="00B73144">
              <w:rPr>
                <w:color w:val="000000" w:themeColor="text1"/>
                <w:sz w:val="28"/>
                <w:szCs w:val="28"/>
              </w:rPr>
              <w:lastRenderedPageBreak/>
              <w:t>такі кошти використовуються виключно з метою гарантування медичного обслуговування клієнтів страховика в закладах охорони здоров’я, включаючи забезпечення лікарськими засобами та виробами медичного призначення, відповідно до договорів страхування в разі настання страхових випадків;</w:t>
            </w:r>
          </w:p>
          <w:p w14:paraId="264F1148"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21" w:name="n243"/>
            <w:bookmarkEnd w:id="21"/>
            <w:r w:rsidRPr="00B73144">
              <w:rPr>
                <w:color w:val="000000" w:themeColor="text1"/>
                <w:sz w:val="28"/>
                <w:szCs w:val="28"/>
              </w:rPr>
              <w:t xml:space="preserve">страховик здійснює не рідше, ніж щокварталу, звірку та підтвердження суми використаних коштів за період звірки та відповідності мети їх використання, а також суми залишків коштів у гарантійних фондах </w:t>
            </w:r>
            <w:proofErr w:type="spellStart"/>
            <w:r w:rsidRPr="00B73144">
              <w:rPr>
                <w:color w:val="000000" w:themeColor="text1"/>
                <w:sz w:val="28"/>
                <w:szCs w:val="28"/>
              </w:rPr>
              <w:t>асистанських</w:t>
            </w:r>
            <w:proofErr w:type="spellEnd"/>
            <w:r w:rsidRPr="00B73144">
              <w:rPr>
                <w:color w:val="000000" w:themeColor="text1"/>
                <w:sz w:val="28"/>
                <w:szCs w:val="28"/>
              </w:rPr>
              <w:t xml:space="preserve"> компаній та/або безпосередньо в гарантійних фондах закладів охорони здоров’я;</w:t>
            </w:r>
          </w:p>
          <w:p w14:paraId="4256B280"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22" w:name="n244"/>
            <w:bookmarkEnd w:id="22"/>
            <w:r w:rsidRPr="00B73144">
              <w:rPr>
                <w:color w:val="000000" w:themeColor="text1"/>
                <w:sz w:val="28"/>
                <w:szCs w:val="28"/>
              </w:rPr>
              <w:t xml:space="preserve">2) за здійсненими страховими виплатами (страховими </w:t>
            </w:r>
            <w:proofErr w:type="spellStart"/>
            <w:r w:rsidRPr="00B73144">
              <w:rPr>
                <w:color w:val="000000" w:themeColor="text1"/>
                <w:sz w:val="28"/>
                <w:szCs w:val="28"/>
              </w:rPr>
              <w:t>відшкодуваннями</w:t>
            </w:r>
            <w:proofErr w:type="spellEnd"/>
            <w:r w:rsidRPr="00B73144">
              <w:rPr>
                <w:color w:val="000000" w:themeColor="text1"/>
                <w:sz w:val="28"/>
                <w:szCs w:val="28"/>
              </w:rPr>
              <w:t>) за іншого страховика за договорами страхування в межах класу страхування 10 за угодами з прямого врегулювання збитків (вимог) за такими договорами;</w:t>
            </w:r>
          </w:p>
          <w:p w14:paraId="130AACF2"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23" w:name="n245"/>
            <w:bookmarkEnd w:id="23"/>
            <w:r w:rsidRPr="00B73144">
              <w:rPr>
                <w:color w:val="000000" w:themeColor="text1"/>
                <w:sz w:val="28"/>
                <w:szCs w:val="28"/>
              </w:rPr>
              <w:t xml:space="preserve">3) за здійсненими страховими виплатами (страховими </w:t>
            </w:r>
            <w:proofErr w:type="spellStart"/>
            <w:r w:rsidRPr="00B73144">
              <w:rPr>
                <w:color w:val="000000" w:themeColor="text1"/>
                <w:sz w:val="28"/>
                <w:szCs w:val="28"/>
              </w:rPr>
              <w:t>відшкодуваннями</w:t>
            </w:r>
            <w:proofErr w:type="spellEnd"/>
            <w:r w:rsidRPr="00B73144">
              <w:rPr>
                <w:color w:val="000000" w:themeColor="text1"/>
                <w:sz w:val="28"/>
                <w:szCs w:val="28"/>
              </w:rPr>
              <w:t>) за іншого страховика згідно з умовами договору співстрахування, укладеного разом із таким страховиком;</w:t>
            </w:r>
          </w:p>
          <w:p w14:paraId="1B998E97" w14:textId="21FE1C83"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24" w:name="n246"/>
            <w:bookmarkEnd w:id="24"/>
            <w:r w:rsidRPr="00B73144">
              <w:rPr>
                <w:color w:val="000000" w:themeColor="text1"/>
                <w:sz w:val="28"/>
                <w:szCs w:val="28"/>
              </w:rPr>
              <w:t xml:space="preserve">4) за нарахованими відсотками від розміщення залишків </w:t>
            </w:r>
            <w:r w:rsidRPr="009C7149">
              <w:rPr>
                <w:b/>
                <w:strike/>
                <w:color w:val="000000" w:themeColor="text1"/>
                <w:sz w:val="28"/>
                <w:szCs w:val="28"/>
              </w:rPr>
              <w:t xml:space="preserve">коштів у </w:t>
            </w:r>
            <w:r w:rsidRPr="00B73144">
              <w:rPr>
                <w:color w:val="000000" w:themeColor="text1"/>
                <w:sz w:val="28"/>
                <w:szCs w:val="28"/>
              </w:rPr>
              <w:t>централізованих страхових резервних фонд</w:t>
            </w:r>
            <w:r w:rsidRPr="009C7149">
              <w:rPr>
                <w:b/>
                <w:strike/>
                <w:color w:val="000000" w:themeColor="text1"/>
                <w:sz w:val="28"/>
                <w:szCs w:val="28"/>
              </w:rPr>
              <w:t>ах</w:t>
            </w:r>
            <w:r w:rsidRPr="00B73144">
              <w:rPr>
                <w:color w:val="000000" w:themeColor="text1"/>
                <w:sz w:val="28"/>
                <w:szCs w:val="28"/>
              </w:rPr>
              <w:t xml:space="preserve"> </w:t>
            </w:r>
            <w:r w:rsidRPr="009A3FE2">
              <w:rPr>
                <w:b/>
                <w:strike/>
                <w:color w:val="000000" w:themeColor="text1"/>
                <w:sz w:val="28"/>
                <w:szCs w:val="28"/>
              </w:rPr>
              <w:t xml:space="preserve">Моторного (транспортного) </w:t>
            </w:r>
            <w:r w:rsidRPr="009A3FE2">
              <w:rPr>
                <w:b/>
                <w:strike/>
                <w:color w:val="000000" w:themeColor="text1"/>
                <w:sz w:val="28"/>
                <w:szCs w:val="28"/>
              </w:rPr>
              <w:lastRenderedPageBreak/>
              <w:t>страхового бюро України</w:t>
            </w:r>
            <w:r w:rsidRPr="00B73144">
              <w:rPr>
                <w:color w:val="000000" w:themeColor="text1"/>
                <w:sz w:val="28"/>
                <w:szCs w:val="28"/>
              </w:rPr>
              <w:t xml:space="preserve"> відповідно до</w:t>
            </w:r>
            <w:r w:rsidR="00302C6A">
              <w:rPr>
                <w:color w:val="000000" w:themeColor="text1"/>
                <w:sz w:val="28"/>
                <w:szCs w:val="28"/>
              </w:rPr>
              <w:t xml:space="preserve"> </w:t>
            </w:r>
            <w:hyperlink r:id="rId6" w:tgtFrame="_blank" w:history="1">
              <w:r w:rsidRPr="00B73144">
                <w:rPr>
                  <w:color w:val="000000" w:themeColor="text1"/>
                  <w:sz w:val="28"/>
                  <w:szCs w:val="28"/>
                </w:rPr>
                <w:t>Закону про обов’язкове страхування</w:t>
              </w:r>
            </w:hyperlink>
            <w:r w:rsidRPr="00B73144">
              <w:rPr>
                <w:color w:val="000000" w:themeColor="text1"/>
                <w:sz w:val="28"/>
                <w:szCs w:val="28"/>
              </w:rPr>
              <w:t>;</w:t>
            </w:r>
          </w:p>
          <w:p w14:paraId="6D00060D" w14:textId="08668EEE"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25" w:name="n247"/>
            <w:bookmarkEnd w:id="25"/>
            <w:r w:rsidRPr="00B73144">
              <w:rPr>
                <w:color w:val="000000" w:themeColor="text1"/>
                <w:sz w:val="28"/>
                <w:szCs w:val="28"/>
              </w:rPr>
              <w:t>5) інша непрострочена дебіторська заборгованість, крім дебіторської заборгованості за операціями страхування та перестрахування, а також крім дебіторської заборгованості</w:t>
            </w:r>
            <w:r w:rsidRPr="00B73144">
              <w:rPr>
                <w:b/>
                <w:strike/>
                <w:color w:val="000000" w:themeColor="text1"/>
                <w:sz w:val="28"/>
                <w:szCs w:val="28"/>
              </w:rPr>
              <w:t xml:space="preserve"> за нарахованими відсотками від розміщення залишків коштів у централізованих страхових резервних фондах Моторного (транспортного) страхового бюро України відповідно до Закону про обов’язкове страхування</w:t>
            </w:r>
            <w:r w:rsidRPr="00B73144">
              <w:rPr>
                <w:color w:val="000000" w:themeColor="text1"/>
                <w:sz w:val="28"/>
                <w:szCs w:val="28"/>
              </w:rPr>
              <w:t>, в обсязі, що не перевищує суми кредиторської заборгованості, іншої, ніж кредиторська заборгованість за операціями страхування та перестрахування.</w:t>
            </w:r>
          </w:p>
          <w:p w14:paraId="5A2075D3"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bookmarkStart w:id="26" w:name="n248"/>
            <w:bookmarkEnd w:id="26"/>
          </w:p>
          <w:p w14:paraId="1858EF6E"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p>
          <w:p w14:paraId="6581A01C"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p>
          <w:p w14:paraId="415159B5"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p>
          <w:p w14:paraId="23980CE5"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p>
          <w:p w14:paraId="224BD587"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p>
          <w:p w14:paraId="338EB56E"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p>
          <w:p w14:paraId="3049D1B7"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p>
          <w:p w14:paraId="4B04A699"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p>
          <w:p w14:paraId="784D45B6"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p>
          <w:p w14:paraId="6C4252FC" w14:textId="77777777" w:rsidR="00772F95" w:rsidRDefault="00772F95" w:rsidP="00AC0AFC">
            <w:pPr>
              <w:pStyle w:val="rvps2"/>
              <w:shd w:val="clear" w:color="auto" w:fill="FFFFFF"/>
              <w:spacing w:before="0" w:beforeAutospacing="0" w:after="0" w:afterAutospacing="0"/>
              <w:ind w:firstLine="448"/>
              <w:jc w:val="both"/>
              <w:rPr>
                <w:color w:val="000000" w:themeColor="text1"/>
                <w:sz w:val="28"/>
                <w:szCs w:val="28"/>
              </w:rPr>
            </w:pPr>
          </w:p>
          <w:p w14:paraId="69899E1B" w14:textId="477846D6"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lastRenderedPageBreak/>
              <w:t>Непрострочена дебіторська заборгованість за категоріями, визначеними в підпунктах 1-3 пункту 40 глави 6 розділу II цього Положення, включається до суми прийнятних активів за умови, що такий актив не був врахований під час розрахунку технічних резервів страховика та обліковується окремо.</w:t>
            </w:r>
          </w:p>
        </w:tc>
        <w:tc>
          <w:tcPr>
            <w:tcW w:w="6875" w:type="dxa"/>
          </w:tcPr>
          <w:p w14:paraId="57FCA087" w14:textId="77777777" w:rsidR="00AC0AFC" w:rsidRPr="00FD32FB"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FD32FB">
              <w:rPr>
                <w:color w:val="000000" w:themeColor="text1"/>
                <w:sz w:val="28"/>
                <w:szCs w:val="28"/>
              </w:rPr>
              <w:lastRenderedPageBreak/>
              <w:t>40. Непрострочена дебіторська заборгованість включається до суми прийнятних активів за такими категоріями:</w:t>
            </w:r>
          </w:p>
          <w:p w14:paraId="11A72FF1"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1) за розміщеними грошовими коштами страховика в гарантійних фондах </w:t>
            </w:r>
            <w:proofErr w:type="spellStart"/>
            <w:r w:rsidRPr="00B73144">
              <w:rPr>
                <w:color w:val="000000" w:themeColor="text1"/>
                <w:sz w:val="28"/>
                <w:szCs w:val="28"/>
              </w:rPr>
              <w:t>асистанських</w:t>
            </w:r>
            <w:proofErr w:type="spellEnd"/>
            <w:r w:rsidRPr="00B73144">
              <w:rPr>
                <w:color w:val="000000" w:themeColor="text1"/>
                <w:sz w:val="28"/>
                <w:szCs w:val="28"/>
              </w:rPr>
              <w:t xml:space="preserve"> компаній та/або безпосередньо в гарантійних фондах закладів охорони здоров’я за умови, що відповідно до укладених із такими </w:t>
            </w:r>
            <w:proofErr w:type="spellStart"/>
            <w:r w:rsidRPr="00B73144">
              <w:rPr>
                <w:color w:val="000000" w:themeColor="text1"/>
                <w:sz w:val="28"/>
                <w:szCs w:val="28"/>
              </w:rPr>
              <w:t>асистанськими</w:t>
            </w:r>
            <w:proofErr w:type="spellEnd"/>
            <w:r w:rsidRPr="00B73144">
              <w:rPr>
                <w:color w:val="000000" w:themeColor="text1"/>
                <w:sz w:val="28"/>
                <w:szCs w:val="28"/>
              </w:rPr>
              <w:t xml:space="preserve"> компаніями, закладами охорони здоров’я договорів:</w:t>
            </w:r>
          </w:p>
          <w:p w14:paraId="55E6DC4F"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lastRenderedPageBreak/>
              <w:t>такі кошти використовуються виключно з метою гарантування медичного обслуговування клієнтів страховика в закладах охорони здоров’я, включаючи забезпечення лікарськими засобами та виробами медичного призначення, відповідно до договорів страхування в разі настання страхових випадків;</w:t>
            </w:r>
          </w:p>
          <w:p w14:paraId="149E9F8A"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страховик здійснює не рідше, ніж щокварталу, звірку та підтвердження суми використаних коштів за період звірки та відповідності мети їх використання, а також суми залишків коштів у гарантійних фондах </w:t>
            </w:r>
            <w:proofErr w:type="spellStart"/>
            <w:r w:rsidRPr="00B73144">
              <w:rPr>
                <w:color w:val="000000" w:themeColor="text1"/>
                <w:sz w:val="28"/>
                <w:szCs w:val="28"/>
              </w:rPr>
              <w:t>асистанських</w:t>
            </w:r>
            <w:proofErr w:type="spellEnd"/>
            <w:r w:rsidRPr="00B73144">
              <w:rPr>
                <w:color w:val="000000" w:themeColor="text1"/>
                <w:sz w:val="28"/>
                <w:szCs w:val="28"/>
              </w:rPr>
              <w:t xml:space="preserve"> компаній та/або безпосередньо в гарантійних фондах закладів охорони здоров’я;</w:t>
            </w:r>
          </w:p>
          <w:p w14:paraId="245B26A2"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2) за здійсненими страховими виплатами (страховими </w:t>
            </w:r>
            <w:proofErr w:type="spellStart"/>
            <w:r w:rsidRPr="00B73144">
              <w:rPr>
                <w:color w:val="000000" w:themeColor="text1"/>
                <w:sz w:val="28"/>
                <w:szCs w:val="28"/>
              </w:rPr>
              <w:t>відшкодуваннями</w:t>
            </w:r>
            <w:proofErr w:type="spellEnd"/>
            <w:r w:rsidRPr="00B73144">
              <w:rPr>
                <w:color w:val="000000" w:themeColor="text1"/>
                <w:sz w:val="28"/>
                <w:szCs w:val="28"/>
              </w:rPr>
              <w:t>) за іншого страховика за договорами страхування в межах класу страхування 10 за угодами з прямого врегулювання збитків (вимог) за такими договорами;</w:t>
            </w:r>
          </w:p>
          <w:p w14:paraId="57E5E2DA"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3) за здійсненими страховими виплатами (страховими </w:t>
            </w:r>
            <w:proofErr w:type="spellStart"/>
            <w:r w:rsidRPr="00B73144">
              <w:rPr>
                <w:color w:val="000000" w:themeColor="text1"/>
                <w:sz w:val="28"/>
                <w:szCs w:val="28"/>
              </w:rPr>
              <w:t>відшкодуваннями</w:t>
            </w:r>
            <w:proofErr w:type="spellEnd"/>
            <w:r w:rsidRPr="00B73144">
              <w:rPr>
                <w:color w:val="000000" w:themeColor="text1"/>
                <w:sz w:val="28"/>
                <w:szCs w:val="28"/>
              </w:rPr>
              <w:t>) за іншого страховика згідно з умовами договору співстрахування, укладеного разом із таким страховиком;</w:t>
            </w:r>
          </w:p>
          <w:p w14:paraId="293CA268" w14:textId="002F36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 xml:space="preserve">4) </w:t>
            </w:r>
            <w:r w:rsidRPr="000B0E45">
              <w:rPr>
                <w:color w:val="000000" w:themeColor="text1"/>
                <w:sz w:val="28"/>
                <w:szCs w:val="28"/>
              </w:rPr>
              <w:t xml:space="preserve">за нарахованими відсотками від розміщення </w:t>
            </w:r>
            <w:r w:rsidRPr="00B73144">
              <w:rPr>
                <w:color w:val="000000" w:themeColor="text1"/>
                <w:sz w:val="28"/>
                <w:szCs w:val="28"/>
              </w:rPr>
              <w:t>коштів централізованих страхових резервних фонд</w:t>
            </w:r>
            <w:r w:rsidR="00302C6A" w:rsidRPr="000B0E45">
              <w:rPr>
                <w:b/>
                <w:color w:val="000000" w:themeColor="text1"/>
                <w:sz w:val="28"/>
                <w:szCs w:val="28"/>
              </w:rPr>
              <w:t>ів</w:t>
            </w:r>
            <w:r w:rsidRPr="00B73144">
              <w:rPr>
                <w:color w:val="000000" w:themeColor="text1"/>
                <w:sz w:val="28"/>
                <w:szCs w:val="28"/>
              </w:rPr>
              <w:t xml:space="preserve"> </w:t>
            </w:r>
            <w:r w:rsidR="009A3FE2" w:rsidRPr="009A3FE2">
              <w:rPr>
                <w:b/>
                <w:color w:val="000000" w:themeColor="text1"/>
                <w:sz w:val="28"/>
                <w:szCs w:val="28"/>
              </w:rPr>
              <w:t>МТСБУ</w:t>
            </w:r>
            <w:r w:rsidR="00D96841" w:rsidRPr="000B0E45">
              <w:rPr>
                <w:b/>
                <w:color w:val="000000" w:themeColor="text1"/>
                <w:sz w:val="28"/>
                <w:szCs w:val="28"/>
              </w:rPr>
              <w:t>, що обліковуються за страховиком</w:t>
            </w:r>
            <w:r w:rsidR="00D96841">
              <w:rPr>
                <w:b/>
                <w:color w:val="000000" w:themeColor="text1"/>
                <w:sz w:val="28"/>
                <w:szCs w:val="28"/>
              </w:rPr>
              <w:t xml:space="preserve"> у таких </w:t>
            </w:r>
            <w:r w:rsidR="00D96841">
              <w:rPr>
                <w:b/>
                <w:color w:val="000000" w:themeColor="text1"/>
                <w:sz w:val="28"/>
                <w:szCs w:val="28"/>
              </w:rPr>
              <w:lastRenderedPageBreak/>
              <w:t>фондах</w:t>
            </w:r>
            <w:r w:rsidRPr="00B73144">
              <w:rPr>
                <w:color w:val="000000" w:themeColor="text1"/>
                <w:sz w:val="28"/>
                <w:szCs w:val="28"/>
              </w:rPr>
              <w:t xml:space="preserve"> відповідно до</w:t>
            </w:r>
            <w:r w:rsidR="00302C6A">
              <w:rPr>
                <w:color w:val="000000" w:themeColor="text1"/>
                <w:sz w:val="28"/>
                <w:szCs w:val="28"/>
              </w:rPr>
              <w:t xml:space="preserve"> </w:t>
            </w:r>
            <w:hyperlink r:id="rId7" w:tgtFrame="_blank" w:history="1">
              <w:r w:rsidRPr="00B73144">
                <w:rPr>
                  <w:color w:val="000000" w:themeColor="text1"/>
                  <w:sz w:val="28"/>
                  <w:szCs w:val="28"/>
                </w:rPr>
                <w:t>Закону про обов’язкове страхування</w:t>
              </w:r>
            </w:hyperlink>
            <w:r w:rsidRPr="00B73144">
              <w:rPr>
                <w:color w:val="000000" w:themeColor="text1"/>
                <w:sz w:val="28"/>
                <w:szCs w:val="28"/>
              </w:rPr>
              <w:t>;</w:t>
            </w:r>
          </w:p>
          <w:p w14:paraId="0343C889" w14:textId="0D9B6487" w:rsidR="00C614F7"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5) інша непрострочена дебіторська заборгованість, крім дебіторської заборгованості за операціями страхування та перестрахування, а також крім дебіторської заборгованості</w:t>
            </w:r>
            <w:r w:rsidR="00B73144" w:rsidRPr="00B73144">
              <w:rPr>
                <w:b/>
                <w:color w:val="000000" w:themeColor="text1"/>
                <w:sz w:val="28"/>
                <w:szCs w:val="28"/>
              </w:rPr>
              <w:t>, зазначеної у пунктах 30, 33, 34</w:t>
            </w:r>
            <w:r w:rsidRPr="00B73144">
              <w:rPr>
                <w:color w:val="000000" w:themeColor="text1"/>
                <w:sz w:val="28"/>
                <w:szCs w:val="28"/>
              </w:rPr>
              <w:t xml:space="preserve">, </w:t>
            </w:r>
            <w:r w:rsidR="00B73144" w:rsidRPr="00B73144">
              <w:rPr>
                <w:b/>
                <w:color w:val="000000" w:themeColor="text1"/>
                <w:sz w:val="28"/>
                <w:szCs w:val="28"/>
              </w:rPr>
              <w:t>37, 39, підпунктах 1 – 4 пункту 40, пункті 42 глави 6 розділу ІІ цього Положення,</w:t>
            </w:r>
            <w:r w:rsidR="00B73144" w:rsidRPr="00B73144">
              <w:rPr>
                <w:color w:val="000000" w:themeColor="text1"/>
                <w:sz w:val="28"/>
                <w:szCs w:val="28"/>
              </w:rPr>
              <w:t xml:space="preserve"> </w:t>
            </w:r>
            <w:r w:rsidRPr="00B73144">
              <w:rPr>
                <w:color w:val="000000" w:themeColor="text1"/>
                <w:sz w:val="28"/>
                <w:szCs w:val="28"/>
              </w:rPr>
              <w:t xml:space="preserve">в обсязі, що не перевищує суми кредиторської заборгованості, іншої, ніж </w:t>
            </w:r>
            <w:r w:rsidR="00B52F4C" w:rsidRPr="00B52F4C">
              <w:rPr>
                <w:b/>
                <w:color w:val="000000" w:themeColor="text1"/>
                <w:sz w:val="28"/>
                <w:szCs w:val="28"/>
              </w:rPr>
              <w:t>така</w:t>
            </w:r>
            <w:r w:rsidR="00B52F4C">
              <w:rPr>
                <w:color w:val="000000" w:themeColor="text1"/>
                <w:sz w:val="28"/>
                <w:szCs w:val="28"/>
              </w:rPr>
              <w:t xml:space="preserve"> </w:t>
            </w:r>
            <w:r w:rsidRPr="00B52F4C">
              <w:rPr>
                <w:color w:val="000000" w:themeColor="text1"/>
                <w:sz w:val="28"/>
                <w:szCs w:val="28"/>
              </w:rPr>
              <w:t>кредиторська заборгованість</w:t>
            </w:r>
            <w:r w:rsidR="00C614F7" w:rsidRPr="00B52F4C">
              <w:rPr>
                <w:b/>
                <w:color w:val="000000" w:themeColor="text1"/>
                <w:sz w:val="28"/>
                <w:szCs w:val="28"/>
              </w:rPr>
              <w:t>:</w:t>
            </w:r>
            <w:r w:rsidRPr="00B73144">
              <w:rPr>
                <w:color w:val="000000" w:themeColor="text1"/>
                <w:sz w:val="28"/>
                <w:szCs w:val="28"/>
              </w:rPr>
              <w:t xml:space="preserve"> </w:t>
            </w:r>
          </w:p>
          <w:p w14:paraId="47A0CDD7" w14:textId="2D828562" w:rsidR="009E100A"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за операціями страхування та перестрахування</w:t>
            </w:r>
            <w:r w:rsidR="009E100A" w:rsidRPr="00C614F7">
              <w:rPr>
                <w:b/>
                <w:color w:val="000000" w:themeColor="text1"/>
                <w:sz w:val="28"/>
                <w:szCs w:val="28"/>
              </w:rPr>
              <w:t>;</w:t>
            </w:r>
          </w:p>
          <w:p w14:paraId="3A3419D5" w14:textId="43781EF4" w:rsidR="009E100A" w:rsidRPr="00C614F7" w:rsidRDefault="00C614F7" w:rsidP="00AC0AFC">
            <w:pPr>
              <w:pStyle w:val="rvps2"/>
              <w:shd w:val="clear" w:color="auto" w:fill="FFFFFF"/>
              <w:spacing w:before="0" w:beforeAutospacing="0" w:after="0" w:afterAutospacing="0"/>
              <w:ind w:firstLine="448"/>
              <w:jc w:val="both"/>
              <w:rPr>
                <w:b/>
                <w:color w:val="000000" w:themeColor="text1"/>
                <w:sz w:val="28"/>
                <w:szCs w:val="28"/>
              </w:rPr>
            </w:pPr>
            <w:r w:rsidRPr="00C614F7">
              <w:rPr>
                <w:b/>
                <w:color w:val="000000" w:themeColor="text1"/>
                <w:sz w:val="28"/>
                <w:szCs w:val="28"/>
              </w:rPr>
              <w:t xml:space="preserve">перед гарантійними фондами </w:t>
            </w:r>
            <w:proofErr w:type="spellStart"/>
            <w:r w:rsidRPr="00C614F7">
              <w:rPr>
                <w:b/>
                <w:color w:val="000000" w:themeColor="text1"/>
                <w:sz w:val="28"/>
                <w:szCs w:val="28"/>
              </w:rPr>
              <w:t>асистанських</w:t>
            </w:r>
            <w:proofErr w:type="spellEnd"/>
            <w:r w:rsidRPr="00C614F7">
              <w:rPr>
                <w:b/>
                <w:color w:val="000000" w:themeColor="text1"/>
                <w:sz w:val="28"/>
                <w:szCs w:val="28"/>
              </w:rPr>
              <w:t xml:space="preserve"> компаній та/або закладів охорони здоров’я;</w:t>
            </w:r>
          </w:p>
          <w:p w14:paraId="24582014" w14:textId="08E8F52E" w:rsidR="00C614F7" w:rsidRPr="00C614F7" w:rsidRDefault="000B0E45" w:rsidP="00AC0AFC">
            <w:pPr>
              <w:pStyle w:val="rvps2"/>
              <w:shd w:val="clear" w:color="auto" w:fill="FFFFFF"/>
              <w:spacing w:before="0" w:beforeAutospacing="0" w:after="0" w:afterAutospacing="0"/>
              <w:ind w:firstLine="448"/>
              <w:jc w:val="both"/>
              <w:rPr>
                <w:b/>
                <w:color w:val="000000" w:themeColor="text1"/>
                <w:sz w:val="28"/>
                <w:szCs w:val="28"/>
              </w:rPr>
            </w:pPr>
            <w:r>
              <w:rPr>
                <w:b/>
                <w:color w:val="000000" w:themeColor="text1"/>
                <w:sz w:val="28"/>
                <w:szCs w:val="28"/>
              </w:rPr>
              <w:t xml:space="preserve">за </w:t>
            </w:r>
            <w:r w:rsidR="00C614F7" w:rsidRPr="00C614F7">
              <w:rPr>
                <w:b/>
                <w:color w:val="000000" w:themeColor="text1"/>
                <w:sz w:val="28"/>
                <w:szCs w:val="28"/>
              </w:rPr>
              <w:t xml:space="preserve">здійсненими страховими виплатами (страховими </w:t>
            </w:r>
            <w:proofErr w:type="spellStart"/>
            <w:r w:rsidR="00C614F7" w:rsidRPr="00C614F7">
              <w:rPr>
                <w:b/>
                <w:color w:val="000000" w:themeColor="text1"/>
                <w:sz w:val="28"/>
                <w:szCs w:val="28"/>
              </w:rPr>
              <w:t>відшкодуваннями</w:t>
            </w:r>
            <w:proofErr w:type="spellEnd"/>
            <w:r w:rsidR="00C614F7" w:rsidRPr="00C614F7">
              <w:rPr>
                <w:b/>
                <w:color w:val="000000" w:themeColor="text1"/>
                <w:sz w:val="28"/>
                <w:szCs w:val="28"/>
              </w:rPr>
              <w:t>) іншим страховиком за договорами страхування в межах класу страхування 10 за угодами з прямого врегулювання збитків (вимог) за такими договорами;</w:t>
            </w:r>
          </w:p>
          <w:p w14:paraId="4CE87F5D" w14:textId="1AB4C3C7" w:rsidR="00C614F7" w:rsidRPr="00C614F7" w:rsidRDefault="00C614F7" w:rsidP="00AC0AFC">
            <w:pPr>
              <w:pStyle w:val="rvps2"/>
              <w:shd w:val="clear" w:color="auto" w:fill="FFFFFF"/>
              <w:spacing w:before="0" w:beforeAutospacing="0" w:after="0" w:afterAutospacing="0"/>
              <w:ind w:firstLine="448"/>
              <w:jc w:val="both"/>
              <w:rPr>
                <w:b/>
                <w:color w:val="000000" w:themeColor="text1"/>
                <w:sz w:val="28"/>
                <w:szCs w:val="28"/>
              </w:rPr>
            </w:pPr>
            <w:r w:rsidRPr="00C614F7">
              <w:rPr>
                <w:b/>
                <w:color w:val="000000" w:themeColor="text1"/>
                <w:sz w:val="28"/>
                <w:szCs w:val="28"/>
              </w:rPr>
              <w:t xml:space="preserve">за здійсненими страховими виплатами (страховими </w:t>
            </w:r>
            <w:proofErr w:type="spellStart"/>
            <w:r w:rsidRPr="00C614F7">
              <w:rPr>
                <w:b/>
                <w:color w:val="000000" w:themeColor="text1"/>
                <w:sz w:val="28"/>
                <w:szCs w:val="28"/>
              </w:rPr>
              <w:t>відшкодуваннями</w:t>
            </w:r>
            <w:proofErr w:type="spellEnd"/>
            <w:r w:rsidRPr="00C614F7">
              <w:rPr>
                <w:b/>
                <w:color w:val="000000" w:themeColor="text1"/>
                <w:sz w:val="28"/>
                <w:szCs w:val="28"/>
              </w:rPr>
              <w:t>) іншим страховиком згідно з умовами договору співстрахування, укладеного разом із таким страховиком;</w:t>
            </w:r>
          </w:p>
          <w:p w14:paraId="162F4820" w14:textId="2E492343" w:rsidR="00AC0AFC" w:rsidRPr="00C614F7" w:rsidRDefault="009E100A" w:rsidP="00AC0AFC">
            <w:pPr>
              <w:pStyle w:val="rvps2"/>
              <w:shd w:val="clear" w:color="auto" w:fill="FFFFFF"/>
              <w:spacing w:before="0" w:beforeAutospacing="0" w:after="0" w:afterAutospacing="0"/>
              <w:ind w:firstLine="448"/>
              <w:jc w:val="both"/>
              <w:rPr>
                <w:b/>
                <w:color w:val="000000" w:themeColor="text1"/>
                <w:sz w:val="28"/>
                <w:szCs w:val="28"/>
              </w:rPr>
            </w:pPr>
            <w:r w:rsidRPr="00C614F7">
              <w:rPr>
                <w:b/>
                <w:sz w:val="28"/>
                <w:szCs w:val="28"/>
              </w:rPr>
              <w:t>з</w:t>
            </w:r>
            <w:r w:rsidR="00BF576D">
              <w:rPr>
                <w:b/>
                <w:sz w:val="28"/>
                <w:szCs w:val="28"/>
              </w:rPr>
              <w:t>а орендними зобов’язаннями, визначеними</w:t>
            </w:r>
            <w:r w:rsidRPr="00C614F7">
              <w:rPr>
                <w:b/>
                <w:sz w:val="28"/>
                <w:szCs w:val="28"/>
              </w:rPr>
              <w:t xml:space="preserve"> відповідно до Міжнародного стандарту фінансової звітності 16 “Оренда”</w:t>
            </w:r>
            <w:r w:rsidR="00AC0AFC" w:rsidRPr="00772F95">
              <w:rPr>
                <w:color w:val="000000" w:themeColor="text1"/>
                <w:sz w:val="28"/>
                <w:szCs w:val="28"/>
              </w:rPr>
              <w:t>.</w:t>
            </w:r>
          </w:p>
          <w:p w14:paraId="5F8355FC" w14:textId="7BA8D2FB" w:rsidR="00AC0AFC" w:rsidRPr="00B73144" w:rsidRDefault="00AC0AFC" w:rsidP="00AC0AFC">
            <w:pPr>
              <w:widowControl w:val="0"/>
              <w:ind w:firstLine="176"/>
              <w:rPr>
                <w:color w:val="000000" w:themeColor="text1"/>
              </w:rPr>
            </w:pPr>
            <w:r w:rsidRPr="00B73144">
              <w:rPr>
                <w:color w:val="000000" w:themeColor="text1"/>
              </w:rPr>
              <w:lastRenderedPageBreak/>
              <w:t>Непрострочена дебіторська заборгованість за категоріями, визначеними в підпунктах 1-3 пункту 40 глави 6 розділу II цього Положення, включається до суми прийнятних активів за умови, що такий актив не був врахований під час розрахунку технічних резервів страховика та обліковується окремо.</w:t>
            </w:r>
          </w:p>
        </w:tc>
      </w:tr>
      <w:tr w:rsidR="00B73144" w:rsidRPr="00B73144" w14:paraId="17D2AB2A" w14:textId="77777777" w:rsidTr="00897A99">
        <w:trPr>
          <w:trHeight w:val="20"/>
        </w:trPr>
        <w:tc>
          <w:tcPr>
            <w:tcW w:w="704" w:type="dxa"/>
          </w:tcPr>
          <w:p w14:paraId="46812305" w14:textId="77777777" w:rsidR="00AC0AFC" w:rsidRPr="00B73144" w:rsidRDefault="00AC0AFC" w:rsidP="00AC0AFC">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6875" w:type="dxa"/>
          </w:tcPr>
          <w:p w14:paraId="0B0959AC" w14:textId="58297B71"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69. Сума прийнятних активів для покриття технічних резервів за договорами прямого страхування та договорами вхідного перестрахування з урахуванням вимог, установлених у</w:t>
            </w:r>
            <w:r w:rsidRPr="00835C23">
              <w:rPr>
                <w:color w:val="000000" w:themeColor="text1"/>
                <w:sz w:val="28"/>
                <w:szCs w:val="28"/>
                <w:lang w:val="ru-RU"/>
              </w:rPr>
              <w:t xml:space="preserve"> </w:t>
            </w:r>
            <w:r w:rsidRPr="00B73144">
              <w:rPr>
                <w:color w:val="000000" w:themeColor="text1"/>
                <w:sz w:val="28"/>
                <w:szCs w:val="28"/>
              </w:rPr>
              <w:t>главі 12</w:t>
            </w:r>
            <w:r w:rsidRPr="00835C23">
              <w:rPr>
                <w:color w:val="000000" w:themeColor="text1"/>
                <w:sz w:val="28"/>
                <w:szCs w:val="28"/>
                <w:lang w:val="ru-RU"/>
              </w:rPr>
              <w:t xml:space="preserve"> </w:t>
            </w:r>
            <w:r w:rsidRPr="00B73144">
              <w:rPr>
                <w:color w:val="000000" w:themeColor="text1"/>
                <w:sz w:val="28"/>
                <w:szCs w:val="28"/>
              </w:rPr>
              <w:t>розділу V цього Положення:</w:t>
            </w:r>
          </w:p>
          <w:p w14:paraId="00C1DCD3"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27" w:name="n347"/>
            <w:bookmarkEnd w:id="27"/>
            <w:r w:rsidRPr="00B73144">
              <w:rPr>
                <w:color w:val="000000" w:themeColor="text1"/>
                <w:sz w:val="28"/>
                <w:szCs w:val="28"/>
              </w:rPr>
              <w:t>1) повинна бути на будь-яку дату не меншою, ніж розмір таких технічних резервів за договорами прямого страхування та договорами вхідного перестрахування;</w:t>
            </w:r>
          </w:p>
          <w:p w14:paraId="166BA3E2"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bookmarkStart w:id="28" w:name="n348"/>
            <w:bookmarkEnd w:id="28"/>
            <w:r w:rsidRPr="00B73144">
              <w:rPr>
                <w:color w:val="000000" w:themeColor="text1"/>
                <w:sz w:val="28"/>
                <w:szCs w:val="28"/>
              </w:rPr>
              <w:t>2) у кожній окремій валюті, що відповідає валюті страхування, на будь-яку дату повинна бути не меншою 80 відсотків технічних резервів, сформованих страховиком за договорами прямого страхування та договорами вхідного перестрахування в такій валюті страхування.</w:t>
            </w:r>
          </w:p>
          <w:p w14:paraId="63293FF2" w14:textId="5C124AB9" w:rsidR="00AC0AFC" w:rsidRPr="00B73144" w:rsidRDefault="00AC0AFC" w:rsidP="00AC0AFC">
            <w:pPr>
              <w:pStyle w:val="rvps2"/>
              <w:shd w:val="clear" w:color="auto" w:fill="FFFFFF"/>
              <w:spacing w:before="0" w:beforeAutospacing="0" w:after="0" w:afterAutospacing="0"/>
              <w:ind w:firstLine="448"/>
              <w:jc w:val="both"/>
              <w:rPr>
                <w:b/>
                <w:color w:val="000000" w:themeColor="text1"/>
                <w:sz w:val="28"/>
                <w:szCs w:val="28"/>
              </w:rPr>
            </w:pPr>
            <w:r w:rsidRPr="00B73144">
              <w:rPr>
                <w:b/>
                <w:color w:val="000000" w:themeColor="text1"/>
                <w:sz w:val="28"/>
                <w:szCs w:val="28"/>
              </w:rPr>
              <w:t>відсутній</w:t>
            </w:r>
          </w:p>
        </w:tc>
        <w:tc>
          <w:tcPr>
            <w:tcW w:w="6875" w:type="dxa"/>
          </w:tcPr>
          <w:p w14:paraId="03736891" w14:textId="2B8CE623"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69. Сума прийнятних активів для покриття технічних резервів за договорами прямого страхування та договорами вхідного перестрахування з урахуванням вимог, установлених у</w:t>
            </w:r>
            <w:r w:rsidRPr="00835C23">
              <w:rPr>
                <w:color w:val="000000" w:themeColor="text1"/>
                <w:sz w:val="28"/>
                <w:szCs w:val="28"/>
                <w:lang w:val="ru-RU"/>
              </w:rPr>
              <w:t xml:space="preserve"> </w:t>
            </w:r>
            <w:r w:rsidRPr="00B73144">
              <w:rPr>
                <w:color w:val="000000" w:themeColor="text1"/>
                <w:sz w:val="28"/>
                <w:szCs w:val="28"/>
              </w:rPr>
              <w:t>главі 12</w:t>
            </w:r>
            <w:r w:rsidRPr="00835C23">
              <w:rPr>
                <w:color w:val="000000" w:themeColor="text1"/>
                <w:sz w:val="28"/>
                <w:szCs w:val="28"/>
                <w:lang w:val="ru-RU"/>
              </w:rPr>
              <w:t xml:space="preserve"> </w:t>
            </w:r>
            <w:r w:rsidRPr="00B73144">
              <w:rPr>
                <w:color w:val="000000" w:themeColor="text1"/>
                <w:sz w:val="28"/>
                <w:szCs w:val="28"/>
              </w:rPr>
              <w:t>розділу V цього Положення:</w:t>
            </w:r>
          </w:p>
          <w:p w14:paraId="7D7F36AC"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1) повинна бути на будь-яку дату не меншою, ніж розмір таких технічних резервів за договорами прямого страхування та договорами вхідного перестрахування;</w:t>
            </w:r>
          </w:p>
          <w:p w14:paraId="146166F0" w14:textId="77777777" w:rsidR="00AC0AFC" w:rsidRPr="00B73144" w:rsidRDefault="00AC0AFC" w:rsidP="00AC0AFC">
            <w:pPr>
              <w:pStyle w:val="rvps2"/>
              <w:shd w:val="clear" w:color="auto" w:fill="FFFFFF"/>
              <w:spacing w:before="0" w:beforeAutospacing="0" w:after="0" w:afterAutospacing="0"/>
              <w:ind w:firstLine="448"/>
              <w:jc w:val="both"/>
              <w:rPr>
                <w:color w:val="000000" w:themeColor="text1"/>
                <w:sz w:val="28"/>
                <w:szCs w:val="28"/>
              </w:rPr>
            </w:pPr>
            <w:r w:rsidRPr="00B73144">
              <w:rPr>
                <w:color w:val="000000" w:themeColor="text1"/>
                <w:sz w:val="28"/>
                <w:szCs w:val="28"/>
              </w:rPr>
              <w:t>2) у кожній окремій валюті, що відповідає валюті страхування, на будь-яку дату повинна бути не меншою 80 відсотків технічних резервів, сформованих страховиком за договорами прямого страхування та договорами вхідного перестрахування в такій валюті страхування.</w:t>
            </w:r>
          </w:p>
          <w:p w14:paraId="07BCA86F" w14:textId="65A4EF2E" w:rsidR="00F46AE8" w:rsidRPr="00F46AE8" w:rsidRDefault="00F46AE8" w:rsidP="00AC0AFC">
            <w:pPr>
              <w:widowControl w:val="0"/>
              <w:ind w:firstLine="176"/>
              <w:rPr>
                <w:b/>
                <w:color w:val="000000" w:themeColor="text1"/>
              </w:rPr>
            </w:pPr>
            <w:r>
              <w:rPr>
                <w:b/>
                <w:color w:val="000000" w:themeColor="text1"/>
              </w:rPr>
              <w:t xml:space="preserve">Вимоги підпункту 1 пункту 69 глави 12 розділу </w:t>
            </w:r>
            <w:r>
              <w:rPr>
                <w:b/>
                <w:color w:val="000000" w:themeColor="text1"/>
                <w:lang w:val="en-US"/>
              </w:rPr>
              <w:t>V</w:t>
            </w:r>
            <w:r>
              <w:rPr>
                <w:b/>
                <w:color w:val="000000" w:themeColor="text1"/>
              </w:rPr>
              <w:t xml:space="preserve"> цього Положення не застосовуються, якщо величина</w:t>
            </w:r>
            <w:r w:rsidRPr="00F46AE8">
              <w:rPr>
                <w:b/>
                <w:color w:val="000000" w:themeColor="text1"/>
              </w:rPr>
              <w:t xml:space="preserve"> </w:t>
            </w:r>
            <w:r>
              <w:rPr>
                <w:b/>
                <w:color w:val="000000" w:themeColor="text1"/>
              </w:rPr>
              <w:t xml:space="preserve">сформованих </w:t>
            </w:r>
            <w:r w:rsidRPr="00F46AE8">
              <w:rPr>
                <w:b/>
                <w:color w:val="000000" w:themeColor="text1"/>
              </w:rPr>
              <w:t>технічних резервів за договорами прямого страхування та договорами вхідного перестрахування</w:t>
            </w:r>
            <w:r>
              <w:rPr>
                <w:b/>
                <w:color w:val="000000" w:themeColor="text1"/>
              </w:rPr>
              <w:t xml:space="preserve"> є від’ємною.</w:t>
            </w:r>
          </w:p>
          <w:p w14:paraId="40870B8B" w14:textId="3ADBB51E" w:rsidR="00AC0AFC" w:rsidRPr="00B73144" w:rsidRDefault="00F46AE8" w:rsidP="00F46AE8">
            <w:pPr>
              <w:widowControl w:val="0"/>
              <w:ind w:firstLine="176"/>
              <w:rPr>
                <w:b/>
                <w:color w:val="000000" w:themeColor="text1"/>
              </w:rPr>
            </w:pPr>
            <w:r>
              <w:rPr>
                <w:b/>
                <w:color w:val="000000" w:themeColor="text1"/>
              </w:rPr>
              <w:lastRenderedPageBreak/>
              <w:t xml:space="preserve">Вимоги підпункту 2 пункту 69 глави 12 розділу </w:t>
            </w:r>
            <w:r>
              <w:rPr>
                <w:b/>
                <w:color w:val="000000" w:themeColor="text1"/>
                <w:lang w:val="en-US"/>
              </w:rPr>
              <w:t>V</w:t>
            </w:r>
            <w:r>
              <w:rPr>
                <w:b/>
                <w:color w:val="000000" w:themeColor="text1"/>
              </w:rPr>
              <w:t xml:space="preserve"> цього Положення не застосовуються до технічних резервів </w:t>
            </w:r>
            <w:r w:rsidRPr="00B73144">
              <w:rPr>
                <w:b/>
                <w:color w:val="000000" w:themeColor="text1"/>
              </w:rPr>
              <w:t>за договорами прямого страхування та договорами вхідного перестрахування</w:t>
            </w:r>
            <w:r>
              <w:rPr>
                <w:b/>
                <w:color w:val="000000" w:themeColor="text1"/>
              </w:rPr>
              <w:t xml:space="preserve"> у тій валюті страхування, у якій величина таких т</w:t>
            </w:r>
            <w:r w:rsidR="00AC0AFC" w:rsidRPr="00B73144">
              <w:rPr>
                <w:b/>
                <w:color w:val="000000" w:themeColor="text1"/>
              </w:rPr>
              <w:t>ехнічн</w:t>
            </w:r>
            <w:r>
              <w:rPr>
                <w:b/>
                <w:color w:val="000000" w:themeColor="text1"/>
              </w:rPr>
              <w:t>их</w:t>
            </w:r>
            <w:r w:rsidR="00AC0AFC" w:rsidRPr="00B73144">
              <w:rPr>
                <w:b/>
                <w:color w:val="000000" w:themeColor="text1"/>
              </w:rPr>
              <w:t xml:space="preserve"> резерв</w:t>
            </w:r>
            <w:r>
              <w:rPr>
                <w:b/>
                <w:color w:val="000000" w:themeColor="text1"/>
              </w:rPr>
              <w:t>ів</w:t>
            </w:r>
            <w:r w:rsidR="00AC0AFC" w:rsidRPr="00B73144">
              <w:rPr>
                <w:b/>
                <w:color w:val="000000" w:themeColor="text1"/>
              </w:rPr>
              <w:t xml:space="preserve"> </w:t>
            </w:r>
            <w:r w:rsidR="00AC0AFC" w:rsidRPr="00B73144">
              <w:rPr>
                <w:b/>
                <w:color w:val="000000" w:themeColor="text1"/>
                <w:shd w:val="clear" w:color="auto" w:fill="FFFFFF"/>
              </w:rPr>
              <w:t xml:space="preserve">є </w:t>
            </w:r>
            <w:r>
              <w:rPr>
                <w:b/>
                <w:color w:val="000000" w:themeColor="text1"/>
                <w:shd w:val="clear" w:color="auto" w:fill="FFFFFF"/>
              </w:rPr>
              <w:t>від’ємною.</w:t>
            </w:r>
          </w:p>
        </w:tc>
      </w:tr>
      <w:tr w:rsidR="00457427" w:rsidRPr="00B73144" w14:paraId="1DCDDDD0" w14:textId="77777777" w:rsidTr="00897A99">
        <w:trPr>
          <w:trHeight w:val="20"/>
        </w:trPr>
        <w:tc>
          <w:tcPr>
            <w:tcW w:w="704" w:type="dxa"/>
          </w:tcPr>
          <w:p w14:paraId="378D0D04" w14:textId="77777777" w:rsidR="00457427" w:rsidRPr="00B73144" w:rsidRDefault="00457427" w:rsidP="00AC0AFC">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6875" w:type="dxa"/>
          </w:tcPr>
          <w:p w14:paraId="39392E51" w14:textId="22C91964" w:rsidR="00457427" w:rsidRPr="00457427" w:rsidRDefault="00457427" w:rsidP="00457427">
            <w:pPr>
              <w:pStyle w:val="3"/>
              <w:keepNext w:val="0"/>
              <w:keepLines w:val="0"/>
              <w:widowControl w:val="0"/>
              <w:spacing w:before="0"/>
              <w:ind w:firstLine="467"/>
              <w:outlineLvl w:val="2"/>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71. </w:t>
            </w:r>
            <w:r w:rsidRPr="008418D2">
              <w:rPr>
                <w:rFonts w:ascii="Times New Roman" w:eastAsia="Times New Roman" w:hAnsi="Times New Roman" w:cs="Times New Roman"/>
                <w:color w:val="auto"/>
                <w:sz w:val="28"/>
                <w:szCs w:val="28"/>
              </w:rPr>
              <w:t xml:space="preserve">Сума прийнятних активів, яка відповідає належному обсягу прийнятних активів для покриття сформованих страховиком технічних резервів за договорами прямого страхування та договорами вхідного перестрахування, включає прийнятні активи, перелік та обсяг яких визначений </w:t>
            </w:r>
            <w:r>
              <w:rPr>
                <w:rFonts w:ascii="Times New Roman" w:eastAsia="Times New Roman" w:hAnsi="Times New Roman" w:cs="Times New Roman"/>
                <w:color w:val="auto"/>
                <w:sz w:val="28"/>
                <w:szCs w:val="28"/>
              </w:rPr>
              <w:t>в</w:t>
            </w:r>
            <w:r w:rsidRPr="008418D2">
              <w:rPr>
                <w:rFonts w:ascii="Times New Roman" w:eastAsia="Times New Roman" w:hAnsi="Times New Roman" w:cs="Times New Roman"/>
                <w:color w:val="auto"/>
                <w:sz w:val="28"/>
                <w:szCs w:val="28"/>
              </w:rPr>
              <w:t xml:space="preserve"> колонках 2, 5, 6 таблиці додатк</w:t>
            </w:r>
            <w:r>
              <w:rPr>
                <w:rFonts w:ascii="Times New Roman" w:eastAsia="Times New Roman" w:hAnsi="Times New Roman" w:cs="Times New Roman"/>
                <w:color w:val="auto"/>
                <w:sz w:val="28"/>
                <w:szCs w:val="28"/>
              </w:rPr>
              <w:t>а</w:t>
            </w:r>
            <w:r w:rsidRPr="008418D2">
              <w:rPr>
                <w:rFonts w:ascii="Times New Roman" w:eastAsia="Times New Roman" w:hAnsi="Times New Roman" w:cs="Times New Roman"/>
                <w:color w:val="auto"/>
                <w:sz w:val="28"/>
                <w:szCs w:val="28"/>
              </w:rPr>
              <w:t xml:space="preserve"> 1 до</w:t>
            </w:r>
            <w:r w:rsidRPr="008418D2">
              <w:rPr>
                <w:rFonts w:ascii="Times New Roman" w:hAnsi="Times New Roman"/>
                <w:color w:val="auto"/>
                <w:sz w:val="28"/>
              </w:rPr>
              <w:t xml:space="preserve"> </w:t>
            </w:r>
            <w:r w:rsidRPr="008418D2">
              <w:rPr>
                <w:rFonts w:ascii="Times New Roman" w:eastAsia="Times New Roman" w:hAnsi="Times New Roman" w:cs="Times New Roman"/>
                <w:color w:val="auto"/>
                <w:sz w:val="28"/>
                <w:szCs w:val="28"/>
              </w:rPr>
              <w:t xml:space="preserve">цього Положення, з урахуванням вимог та обмежень до таких активів, </w:t>
            </w:r>
            <w:r>
              <w:rPr>
                <w:rFonts w:ascii="Times New Roman" w:eastAsia="Times New Roman" w:hAnsi="Times New Roman" w:cs="Times New Roman"/>
                <w:color w:val="auto"/>
                <w:sz w:val="28"/>
                <w:szCs w:val="28"/>
              </w:rPr>
              <w:t>у</w:t>
            </w:r>
            <w:r w:rsidRPr="008418D2">
              <w:rPr>
                <w:rFonts w:ascii="Times New Roman" w:eastAsia="Times New Roman" w:hAnsi="Times New Roman" w:cs="Times New Roman"/>
                <w:color w:val="auto"/>
                <w:sz w:val="28"/>
                <w:szCs w:val="28"/>
              </w:rPr>
              <w:t>становлених у главі 6 розділу ІІ та пунктах 72, 73 глави 12 розділу V цього Положення.</w:t>
            </w:r>
          </w:p>
        </w:tc>
        <w:tc>
          <w:tcPr>
            <w:tcW w:w="6875" w:type="dxa"/>
          </w:tcPr>
          <w:p w14:paraId="61B2A76D" w14:textId="28FD5698" w:rsidR="00457427" w:rsidRPr="00B73144" w:rsidRDefault="00457427" w:rsidP="00AC0AFC">
            <w:pPr>
              <w:pStyle w:val="rvps2"/>
              <w:shd w:val="clear" w:color="auto" w:fill="FFFFFF"/>
              <w:spacing w:before="0" w:beforeAutospacing="0" w:after="0" w:afterAutospacing="0"/>
              <w:ind w:firstLine="448"/>
              <w:jc w:val="both"/>
              <w:rPr>
                <w:color w:val="000000" w:themeColor="text1"/>
                <w:sz w:val="28"/>
                <w:szCs w:val="28"/>
              </w:rPr>
            </w:pPr>
            <w:r>
              <w:rPr>
                <w:sz w:val="28"/>
                <w:szCs w:val="28"/>
              </w:rPr>
              <w:t xml:space="preserve">71. </w:t>
            </w:r>
            <w:r w:rsidRPr="008418D2">
              <w:rPr>
                <w:sz w:val="28"/>
                <w:szCs w:val="28"/>
              </w:rPr>
              <w:t xml:space="preserve">Сума прийнятних активів, яка відповідає належному обсягу прийнятних активів для покриття сформованих страховиком технічних резервів за договорами прямого страхування та договорами вхідного перестрахування, включає прийнятні активи, перелік та обсяг яких визначений </w:t>
            </w:r>
            <w:r>
              <w:rPr>
                <w:sz w:val="28"/>
                <w:szCs w:val="28"/>
              </w:rPr>
              <w:t>в</w:t>
            </w:r>
            <w:r w:rsidRPr="008418D2">
              <w:rPr>
                <w:sz w:val="28"/>
                <w:szCs w:val="28"/>
              </w:rPr>
              <w:t xml:space="preserve"> колонках 2, 5, 6 таблиці додатк</w:t>
            </w:r>
            <w:r>
              <w:rPr>
                <w:sz w:val="28"/>
                <w:szCs w:val="28"/>
              </w:rPr>
              <w:t>а</w:t>
            </w:r>
            <w:r w:rsidRPr="008418D2">
              <w:rPr>
                <w:sz w:val="28"/>
                <w:szCs w:val="28"/>
              </w:rPr>
              <w:t xml:space="preserve"> 1 до</w:t>
            </w:r>
            <w:r w:rsidRPr="008418D2">
              <w:rPr>
                <w:sz w:val="28"/>
              </w:rPr>
              <w:t xml:space="preserve"> </w:t>
            </w:r>
            <w:r w:rsidRPr="008418D2">
              <w:rPr>
                <w:sz w:val="28"/>
                <w:szCs w:val="28"/>
              </w:rPr>
              <w:t xml:space="preserve">цього Положення, з урахуванням вимог та обмежень до таких активів, </w:t>
            </w:r>
            <w:r>
              <w:rPr>
                <w:sz w:val="28"/>
                <w:szCs w:val="28"/>
              </w:rPr>
              <w:t>у</w:t>
            </w:r>
            <w:r w:rsidRPr="008418D2">
              <w:rPr>
                <w:sz w:val="28"/>
                <w:szCs w:val="28"/>
              </w:rPr>
              <w:t xml:space="preserve">становлених у </w:t>
            </w:r>
            <w:r w:rsidR="005E7998">
              <w:rPr>
                <w:b/>
                <w:sz w:val="28"/>
                <w:szCs w:val="28"/>
              </w:rPr>
              <w:t>пункті 27</w:t>
            </w:r>
            <w:r w:rsidRPr="00457427">
              <w:rPr>
                <w:b/>
                <w:sz w:val="28"/>
                <w:szCs w:val="28"/>
              </w:rPr>
              <w:t xml:space="preserve"> глави 5,</w:t>
            </w:r>
            <w:r>
              <w:rPr>
                <w:sz w:val="28"/>
                <w:szCs w:val="28"/>
              </w:rPr>
              <w:t xml:space="preserve"> </w:t>
            </w:r>
            <w:r w:rsidRPr="008418D2">
              <w:rPr>
                <w:sz w:val="28"/>
                <w:szCs w:val="28"/>
              </w:rPr>
              <w:t>главі 6 розділу ІІ та пунктах 72, 73 глави 12 розділу V цього Положення.</w:t>
            </w:r>
          </w:p>
        </w:tc>
      </w:tr>
      <w:tr w:rsidR="009A4E4C" w:rsidRPr="00B73144" w14:paraId="7D521AC2" w14:textId="77777777" w:rsidTr="00897A99">
        <w:trPr>
          <w:trHeight w:val="20"/>
        </w:trPr>
        <w:tc>
          <w:tcPr>
            <w:tcW w:w="704" w:type="dxa"/>
          </w:tcPr>
          <w:p w14:paraId="4C57AEE6" w14:textId="77777777" w:rsidR="009A4E4C" w:rsidRPr="00B73144" w:rsidRDefault="009A4E4C" w:rsidP="00AC0AFC">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6875" w:type="dxa"/>
          </w:tcPr>
          <w:p w14:paraId="5ADD7AA8" w14:textId="5864AFD6" w:rsidR="009A4E4C" w:rsidRPr="00F3558F" w:rsidRDefault="009A4E4C" w:rsidP="00AC0AFC">
            <w:pPr>
              <w:pStyle w:val="rvps2"/>
              <w:shd w:val="clear" w:color="auto" w:fill="FFFFFF"/>
              <w:spacing w:before="0" w:beforeAutospacing="0" w:after="0" w:afterAutospacing="0"/>
              <w:ind w:firstLine="448"/>
              <w:jc w:val="both"/>
              <w:rPr>
                <w:sz w:val="28"/>
                <w:szCs w:val="28"/>
                <w:shd w:val="clear" w:color="auto" w:fill="FFFFFF"/>
              </w:rPr>
            </w:pPr>
            <w:r w:rsidRPr="00F3558F">
              <w:rPr>
                <w:sz w:val="28"/>
                <w:szCs w:val="28"/>
                <w:shd w:val="clear" w:color="auto" w:fill="FFFFFF"/>
              </w:rPr>
              <w:t xml:space="preserve">72. </w:t>
            </w:r>
            <w:r w:rsidRPr="009C7149">
              <w:rPr>
                <w:b/>
                <w:strike/>
                <w:sz w:val="28"/>
                <w:szCs w:val="28"/>
                <w:shd w:val="clear" w:color="auto" w:fill="FFFFFF"/>
              </w:rPr>
              <w:t>Залишки коштів, сплачені страховиком</w:t>
            </w:r>
            <w:r w:rsidRPr="000E4048">
              <w:rPr>
                <w:strike/>
                <w:sz w:val="28"/>
                <w:szCs w:val="28"/>
                <w:shd w:val="clear" w:color="auto" w:fill="FFFFFF"/>
              </w:rPr>
              <w:t xml:space="preserve"> </w:t>
            </w:r>
            <w:r w:rsidRPr="009C7149">
              <w:rPr>
                <w:sz w:val="28"/>
                <w:szCs w:val="28"/>
                <w:shd w:val="clear" w:color="auto" w:fill="FFFFFF"/>
              </w:rPr>
              <w:t xml:space="preserve">до централізованих страхових резервних фондів </w:t>
            </w:r>
            <w:r w:rsidRPr="009A3FE2">
              <w:rPr>
                <w:b/>
                <w:strike/>
                <w:sz w:val="28"/>
                <w:szCs w:val="28"/>
                <w:shd w:val="clear" w:color="auto" w:fill="FFFFFF"/>
              </w:rPr>
              <w:t>Моторного (транспортного) страхового бюро України</w:t>
            </w:r>
            <w:r w:rsidR="009A3FE2">
              <w:rPr>
                <w:sz w:val="28"/>
                <w:szCs w:val="28"/>
                <w:shd w:val="clear" w:color="auto" w:fill="FFFFFF"/>
              </w:rPr>
              <w:t xml:space="preserve"> відповідно до </w:t>
            </w:r>
            <w:r w:rsidRPr="009C7149">
              <w:rPr>
                <w:sz w:val="28"/>
                <w:szCs w:val="28"/>
                <w:shd w:val="clear" w:color="auto" w:fill="FFFFFF"/>
              </w:rPr>
              <w:t>Закону про обов’язкове страхування,</w:t>
            </w:r>
            <w:r w:rsidRPr="00F3558F">
              <w:rPr>
                <w:sz w:val="28"/>
                <w:szCs w:val="28"/>
                <w:shd w:val="clear" w:color="auto" w:fill="FFFFFF"/>
              </w:rPr>
              <w:t xml:space="preserve"> включаються до суми прийнятних активів для покриття сформованих страховиком технічних резервів за договорами прямого страхування та договорами вхідного перестрахування в обсязі, не більшому, ніж </w:t>
            </w:r>
            <w:r w:rsidRPr="0076256F">
              <w:rPr>
                <w:b/>
                <w:strike/>
                <w:sz w:val="28"/>
                <w:szCs w:val="28"/>
                <w:shd w:val="clear" w:color="auto" w:fill="FFFFFF"/>
              </w:rPr>
              <w:t xml:space="preserve">розмір коштів, що використовуються </w:t>
            </w:r>
            <w:r w:rsidRPr="0076256F">
              <w:rPr>
                <w:b/>
                <w:strike/>
                <w:sz w:val="28"/>
                <w:szCs w:val="28"/>
                <w:shd w:val="clear" w:color="auto" w:fill="FFFFFF"/>
              </w:rPr>
              <w:lastRenderedPageBreak/>
              <w:t>виключно для виконання таким страховиком зобов’язань за укладеними договорами страхування за класом страхування 10</w:t>
            </w:r>
            <w:r w:rsidRPr="00F3558F">
              <w:rPr>
                <w:sz w:val="28"/>
                <w:szCs w:val="28"/>
                <w:shd w:val="clear" w:color="auto" w:fill="FFFFFF"/>
              </w:rPr>
              <w:t>.</w:t>
            </w:r>
          </w:p>
        </w:tc>
        <w:tc>
          <w:tcPr>
            <w:tcW w:w="6875" w:type="dxa"/>
          </w:tcPr>
          <w:p w14:paraId="76806B5F" w14:textId="614C54F9" w:rsidR="00113CB2" w:rsidRDefault="009A4E4C" w:rsidP="009A3FE2">
            <w:pPr>
              <w:pStyle w:val="rvps2"/>
              <w:shd w:val="clear" w:color="auto" w:fill="FFFFFF"/>
              <w:spacing w:before="0" w:beforeAutospacing="0" w:after="0" w:afterAutospacing="0"/>
              <w:ind w:firstLine="448"/>
              <w:jc w:val="both"/>
              <w:rPr>
                <w:sz w:val="28"/>
                <w:szCs w:val="28"/>
                <w:shd w:val="clear" w:color="auto" w:fill="FFFFFF"/>
              </w:rPr>
            </w:pPr>
            <w:r w:rsidRPr="00F3558F">
              <w:rPr>
                <w:sz w:val="28"/>
                <w:szCs w:val="28"/>
                <w:shd w:val="clear" w:color="auto" w:fill="FFFFFF"/>
              </w:rPr>
              <w:lastRenderedPageBreak/>
              <w:t xml:space="preserve">72. </w:t>
            </w:r>
            <w:r w:rsidR="00575980" w:rsidRPr="007B3BAA">
              <w:rPr>
                <w:b/>
                <w:sz w:val="28"/>
                <w:szCs w:val="28"/>
                <w:shd w:val="clear" w:color="auto" w:fill="FFFFFF"/>
              </w:rPr>
              <w:t xml:space="preserve">Кошти </w:t>
            </w:r>
            <w:r w:rsidR="000E4048">
              <w:rPr>
                <w:b/>
                <w:sz w:val="28"/>
                <w:szCs w:val="28"/>
                <w:shd w:val="clear" w:color="auto" w:fill="FFFFFF"/>
              </w:rPr>
              <w:t xml:space="preserve">базових та додаткових гарантійних внесків </w:t>
            </w:r>
            <w:r w:rsidRPr="00F3558F">
              <w:rPr>
                <w:sz w:val="28"/>
                <w:szCs w:val="28"/>
                <w:shd w:val="clear" w:color="auto" w:fill="FFFFFF"/>
              </w:rPr>
              <w:t xml:space="preserve">до централізованих страхових резервних фондів </w:t>
            </w:r>
            <w:r w:rsidR="009A3FE2" w:rsidRPr="009A3FE2">
              <w:rPr>
                <w:b/>
                <w:sz w:val="28"/>
                <w:szCs w:val="28"/>
                <w:shd w:val="clear" w:color="auto" w:fill="FFFFFF"/>
              </w:rPr>
              <w:t>МТСБУ</w:t>
            </w:r>
            <w:r w:rsidR="00C96049" w:rsidRPr="007B3BAA">
              <w:rPr>
                <w:b/>
                <w:sz w:val="28"/>
                <w:szCs w:val="28"/>
                <w:shd w:val="clear" w:color="auto" w:fill="FFFFFF"/>
              </w:rPr>
              <w:t>, що обліковуються за страховиком у таких фондах</w:t>
            </w:r>
            <w:r w:rsidRPr="00F3558F">
              <w:rPr>
                <w:sz w:val="28"/>
                <w:szCs w:val="28"/>
                <w:shd w:val="clear" w:color="auto" w:fill="FFFFFF"/>
              </w:rPr>
              <w:t xml:space="preserve"> відповідно до Закону про обов’язкове страхування,</w:t>
            </w:r>
            <w:r w:rsidR="00C96049">
              <w:rPr>
                <w:sz w:val="28"/>
                <w:szCs w:val="28"/>
                <w:shd w:val="clear" w:color="auto" w:fill="FFFFFF"/>
              </w:rPr>
              <w:t xml:space="preserve"> </w:t>
            </w:r>
            <w:r w:rsidR="00C96049" w:rsidRPr="007B3BAA">
              <w:rPr>
                <w:b/>
                <w:sz w:val="28"/>
                <w:szCs w:val="28"/>
                <w:shd w:val="clear" w:color="auto" w:fill="FFFFFF"/>
              </w:rPr>
              <w:t xml:space="preserve">а також </w:t>
            </w:r>
            <w:r w:rsidR="00C96049" w:rsidRPr="00720735">
              <w:rPr>
                <w:b/>
                <w:sz w:val="28"/>
                <w:szCs w:val="28"/>
                <w:shd w:val="clear" w:color="auto" w:fill="FFFFFF"/>
              </w:rPr>
              <w:t>кошт</w:t>
            </w:r>
            <w:r w:rsidR="009A3FE2">
              <w:rPr>
                <w:b/>
                <w:sz w:val="28"/>
                <w:szCs w:val="28"/>
                <w:shd w:val="clear" w:color="auto" w:fill="FFFFFF"/>
              </w:rPr>
              <w:t>и</w:t>
            </w:r>
            <w:r w:rsidR="00C96049" w:rsidRPr="00720735">
              <w:rPr>
                <w:b/>
                <w:sz w:val="28"/>
                <w:szCs w:val="28"/>
                <w:shd w:val="clear" w:color="auto" w:fill="FFFFFF"/>
              </w:rPr>
              <w:t>, що підлягають поверненню</w:t>
            </w:r>
            <w:r w:rsidR="00C96049" w:rsidRPr="007B3BAA">
              <w:rPr>
                <w:b/>
                <w:sz w:val="28"/>
                <w:szCs w:val="28"/>
                <w:shd w:val="clear" w:color="auto" w:fill="FFFFFF"/>
              </w:rPr>
              <w:t xml:space="preserve"> страховику з централізованих страхових резервних фондів </w:t>
            </w:r>
            <w:r w:rsidR="009A3FE2">
              <w:rPr>
                <w:b/>
                <w:sz w:val="28"/>
                <w:szCs w:val="28"/>
                <w:shd w:val="clear" w:color="auto" w:fill="FFFFFF"/>
              </w:rPr>
              <w:t>МТСБУ</w:t>
            </w:r>
            <w:r w:rsidR="00C96049" w:rsidRPr="00C96049">
              <w:rPr>
                <w:sz w:val="28"/>
                <w:szCs w:val="28"/>
                <w:shd w:val="clear" w:color="auto" w:fill="FFFFFF"/>
              </w:rPr>
              <w:t>,</w:t>
            </w:r>
            <w:r w:rsidR="00C96049">
              <w:rPr>
                <w:b/>
                <w:sz w:val="28"/>
                <w:szCs w:val="28"/>
                <w:shd w:val="clear" w:color="auto" w:fill="FFFFFF"/>
              </w:rPr>
              <w:t xml:space="preserve"> </w:t>
            </w:r>
            <w:r w:rsidRPr="00F3558F">
              <w:rPr>
                <w:sz w:val="28"/>
                <w:szCs w:val="28"/>
                <w:shd w:val="clear" w:color="auto" w:fill="FFFFFF"/>
              </w:rPr>
              <w:t xml:space="preserve">включаються до суми прийнятних активів для покриття сформованих страховиком технічних резервів за договорами прямого </w:t>
            </w:r>
            <w:r w:rsidRPr="00F3558F">
              <w:rPr>
                <w:sz w:val="28"/>
                <w:szCs w:val="28"/>
                <w:shd w:val="clear" w:color="auto" w:fill="FFFFFF"/>
              </w:rPr>
              <w:lastRenderedPageBreak/>
              <w:t>страхування та договорами вхідного перестрахування в обсязі, не більшому, ніж</w:t>
            </w:r>
            <w:r w:rsidR="00C96049">
              <w:rPr>
                <w:b/>
                <w:sz w:val="28"/>
                <w:szCs w:val="28"/>
                <w:shd w:val="clear" w:color="auto" w:fill="FFFFFF"/>
              </w:rPr>
              <w:t xml:space="preserve"> </w:t>
            </w:r>
            <w:r w:rsidRPr="00F3558F">
              <w:rPr>
                <w:b/>
                <w:sz w:val="28"/>
                <w:szCs w:val="28"/>
                <w:shd w:val="clear" w:color="auto" w:fill="FFFFFF"/>
              </w:rPr>
              <w:t>сума технічних резервів, сформованих за договорами страхування, укладеними відповідно до Закону про обов’язкове страхування</w:t>
            </w:r>
            <w:r w:rsidRPr="00F3558F">
              <w:rPr>
                <w:sz w:val="28"/>
                <w:szCs w:val="28"/>
                <w:shd w:val="clear" w:color="auto" w:fill="FFFFFF"/>
              </w:rPr>
              <w:t>.</w:t>
            </w:r>
            <w:r w:rsidR="00910FA0">
              <w:rPr>
                <w:sz w:val="28"/>
                <w:szCs w:val="28"/>
                <w:shd w:val="clear" w:color="auto" w:fill="FFFFFF"/>
              </w:rPr>
              <w:t xml:space="preserve"> </w:t>
            </w:r>
          </w:p>
          <w:p w14:paraId="7DB75558" w14:textId="5F1EC3A4" w:rsidR="009A4E4C" w:rsidRPr="00F3558F" w:rsidRDefault="00910FA0" w:rsidP="00350D7D">
            <w:pPr>
              <w:pStyle w:val="rvps2"/>
              <w:shd w:val="clear" w:color="auto" w:fill="FFFFFF"/>
              <w:spacing w:before="0" w:beforeAutospacing="0" w:after="0" w:afterAutospacing="0"/>
              <w:ind w:firstLine="448"/>
              <w:jc w:val="both"/>
              <w:rPr>
                <w:sz w:val="28"/>
                <w:szCs w:val="28"/>
                <w:shd w:val="clear" w:color="auto" w:fill="FFFFFF"/>
              </w:rPr>
            </w:pPr>
            <w:r w:rsidRPr="00264323">
              <w:rPr>
                <w:b/>
                <w:sz w:val="28"/>
                <w:szCs w:val="28"/>
                <w:shd w:val="clear" w:color="auto" w:fill="FFFFFF"/>
              </w:rPr>
              <w:t xml:space="preserve">Водночас </w:t>
            </w:r>
            <w:r w:rsidR="003D086B">
              <w:rPr>
                <w:b/>
                <w:sz w:val="28"/>
                <w:szCs w:val="28"/>
                <w:shd w:val="clear" w:color="auto" w:fill="FFFFFF"/>
              </w:rPr>
              <w:t xml:space="preserve">до суми прийнятних активів </w:t>
            </w:r>
            <w:r>
              <w:rPr>
                <w:b/>
                <w:sz w:val="28"/>
                <w:szCs w:val="28"/>
                <w:shd w:val="clear" w:color="auto" w:fill="FFFFFF"/>
              </w:rPr>
              <w:t>для покриття резерву збитків, сформованого</w:t>
            </w:r>
            <w:r w:rsidRPr="00264323">
              <w:rPr>
                <w:b/>
                <w:sz w:val="28"/>
                <w:szCs w:val="28"/>
                <w:shd w:val="clear" w:color="auto" w:fill="FFFFFF"/>
              </w:rPr>
              <w:t xml:space="preserve"> за договорами страхування, укладеними відповідно до Закону про обов’язкове страхування</w:t>
            </w:r>
            <w:r w:rsidR="003D086B">
              <w:rPr>
                <w:b/>
                <w:sz w:val="28"/>
                <w:szCs w:val="28"/>
                <w:shd w:val="clear" w:color="auto" w:fill="FFFFFF"/>
              </w:rPr>
              <w:t xml:space="preserve">, включаються </w:t>
            </w:r>
            <w:r w:rsidR="007B3BAA">
              <w:rPr>
                <w:b/>
                <w:sz w:val="28"/>
                <w:szCs w:val="28"/>
                <w:shd w:val="clear" w:color="auto" w:fill="FFFFFF"/>
              </w:rPr>
              <w:t xml:space="preserve">тільки </w:t>
            </w:r>
            <w:r w:rsidR="0000415F">
              <w:rPr>
                <w:b/>
                <w:sz w:val="28"/>
                <w:szCs w:val="28"/>
                <w:shd w:val="clear" w:color="auto" w:fill="FFFFFF"/>
              </w:rPr>
              <w:t>к</w:t>
            </w:r>
            <w:r w:rsidR="0000415F" w:rsidRPr="0000415F">
              <w:rPr>
                <w:b/>
                <w:sz w:val="28"/>
                <w:szCs w:val="28"/>
                <w:shd w:val="clear" w:color="auto" w:fill="FFFFFF"/>
              </w:rPr>
              <w:t xml:space="preserve">ошти </w:t>
            </w:r>
            <w:r w:rsidR="0000415F">
              <w:rPr>
                <w:b/>
                <w:sz w:val="28"/>
                <w:szCs w:val="28"/>
                <w:shd w:val="clear" w:color="auto" w:fill="FFFFFF"/>
              </w:rPr>
              <w:t xml:space="preserve">додаткових гарантійних внесків до </w:t>
            </w:r>
            <w:r w:rsidR="0000415F" w:rsidRPr="0000415F">
              <w:rPr>
                <w:b/>
                <w:sz w:val="28"/>
                <w:szCs w:val="28"/>
                <w:shd w:val="clear" w:color="auto" w:fill="FFFFFF"/>
              </w:rPr>
              <w:t xml:space="preserve">централізованих страхових резервних фондів </w:t>
            </w:r>
            <w:r w:rsidR="009A3FE2">
              <w:rPr>
                <w:b/>
                <w:sz w:val="28"/>
                <w:szCs w:val="28"/>
                <w:shd w:val="clear" w:color="auto" w:fill="FFFFFF"/>
              </w:rPr>
              <w:t>МТСБУ</w:t>
            </w:r>
            <w:r w:rsidR="0000415F" w:rsidRPr="0000415F">
              <w:rPr>
                <w:b/>
                <w:sz w:val="28"/>
                <w:szCs w:val="28"/>
                <w:shd w:val="clear" w:color="auto" w:fill="FFFFFF"/>
              </w:rPr>
              <w:t xml:space="preserve">, що обліковуються за страховиком у таких фондах відповідно до Закону про обов’язкове страхування, а також </w:t>
            </w:r>
            <w:r w:rsidR="00350D7D">
              <w:rPr>
                <w:b/>
                <w:sz w:val="28"/>
                <w:szCs w:val="28"/>
                <w:shd w:val="clear" w:color="auto" w:fill="FFFFFF"/>
              </w:rPr>
              <w:t>кошти</w:t>
            </w:r>
            <w:r w:rsidR="0000415F" w:rsidRPr="0000415F">
              <w:rPr>
                <w:b/>
                <w:sz w:val="28"/>
                <w:szCs w:val="28"/>
                <w:shd w:val="clear" w:color="auto" w:fill="FFFFFF"/>
              </w:rPr>
              <w:t xml:space="preserve"> </w:t>
            </w:r>
            <w:r w:rsidR="0000415F">
              <w:rPr>
                <w:b/>
                <w:sz w:val="28"/>
                <w:szCs w:val="28"/>
                <w:shd w:val="clear" w:color="auto" w:fill="FFFFFF"/>
              </w:rPr>
              <w:t>додаткових гарантійних внесків</w:t>
            </w:r>
            <w:r w:rsidR="0000415F" w:rsidRPr="0000415F">
              <w:rPr>
                <w:b/>
                <w:sz w:val="28"/>
                <w:szCs w:val="28"/>
                <w:shd w:val="clear" w:color="auto" w:fill="FFFFFF"/>
              </w:rPr>
              <w:t>, що підлягають поверненню страховику з централізованих страхових резервних фондів</w:t>
            </w:r>
            <w:r w:rsidR="007B3BAA">
              <w:rPr>
                <w:b/>
                <w:sz w:val="28"/>
                <w:szCs w:val="28"/>
                <w:shd w:val="clear" w:color="auto" w:fill="FFFFFF"/>
              </w:rPr>
              <w:t xml:space="preserve"> </w:t>
            </w:r>
            <w:r w:rsidR="009A3FE2">
              <w:rPr>
                <w:b/>
                <w:sz w:val="28"/>
                <w:szCs w:val="28"/>
                <w:shd w:val="clear" w:color="auto" w:fill="FFFFFF"/>
              </w:rPr>
              <w:t>МТСБУ</w:t>
            </w:r>
            <w:r w:rsidR="00D61152">
              <w:rPr>
                <w:b/>
                <w:sz w:val="28"/>
                <w:szCs w:val="28"/>
                <w:shd w:val="clear" w:color="auto" w:fill="FFFFFF"/>
              </w:rPr>
              <w:t>.</w:t>
            </w:r>
          </w:p>
        </w:tc>
      </w:tr>
      <w:tr w:rsidR="007708D4" w:rsidRPr="00B73144" w14:paraId="79192237" w14:textId="77777777" w:rsidTr="00897A99">
        <w:trPr>
          <w:trHeight w:val="20"/>
        </w:trPr>
        <w:tc>
          <w:tcPr>
            <w:tcW w:w="704" w:type="dxa"/>
          </w:tcPr>
          <w:p w14:paraId="5AC5818B" w14:textId="77777777" w:rsidR="007708D4" w:rsidRPr="00B73144" w:rsidRDefault="007708D4" w:rsidP="00AC0AFC">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6875" w:type="dxa"/>
          </w:tcPr>
          <w:p w14:paraId="187F0423" w14:textId="0D37C407" w:rsidR="007708D4" w:rsidRPr="008418D2" w:rsidRDefault="007708D4" w:rsidP="007708D4">
            <w:pPr>
              <w:pStyle w:val="3"/>
              <w:keepNext w:val="0"/>
              <w:keepLines w:val="0"/>
              <w:widowControl w:val="0"/>
              <w:spacing w:before="0"/>
              <w:outlineLvl w:val="2"/>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73. </w:t>
            </w:r>
            <w:r w:rsidRPr="008418D2">
              <w:rPr>
                <w:rFonts w:ascii="Times New Roman" w:eastAsia="Times New Roman" w:hAnsi="Times New Roman" w:cs="Times New Roman"/>
                <w:color w:val="auto"/>
                <w:sz w:val="28"/>
                <w:szCs w:val="28"/>
              </w:rPr>
              <w:t>Сума прийнятних активів, яка відповідає належному обсягу прийнятних активів для покриття сформованих страховиком технічних резервів за договорами прямого страхування та договорами вхідного перестрахування, не включає так</w:t>
            </w:r>
            <w:r>
              <w:rPr>
                <w:rFonts w:ascii="Times New Roman" w:eastAsia="Times New Roman" w:hAnsi="Times New Roman" w:cs="Times New Roman"/>
                <w:color w:val="auto"/>
                <w:sz w:val="28"/>
                <w:szCs w:val="28"/>
              </w:rPr>
              <w:t>их</w:t>
            </w:r>
            <w:r w:rsidRPr="008418D2">
              <w:rPr>
                <w:rFonts w:ascii="Times New Roman" w:eastAsia="Times New Roman" w:hAnsi="Times New Roman" w:cs="Times New Roman"/>
                <w:color w:val="auto"/>
                <w:sz w:val="28"/>
                <w:szCs w:val="28"/>
              </w:rPr>
              <w:t xml:space="preserve"> актив</w:t>
            </w:r>
            <w:r>
              <w:rPr>
                <w:rFonts w:ascii="Times New Roman" w:eastAsia="Times New Roman" w:hAnsi="Times New Roman" w:cs="Times New Roman"/>
                <w:color w:val="auto"/>
                <w:sz w:val="28"/>
                <w:szCs w:val="28"/>
              </w:rPr>
              <w:t>ів</w:t>
            </w:r>
            <w:r w:rsidRPr="008418D2">
              <w:rPr>
                <w:rFonts w:ascii="Times New Roman" w:eastAsia="Times New Roman" w:hAnsi="Times New Roman" w:cs="Times New Roman"/>
                <w:color w:val="auto"/>
                <w:sz w:val="28"/>
                <w:szCs w:val="28"/>
              </w:rPr>
              <w:t>:</w:t>
            </w:r>
          </w:p>
          <w:p w14:paraId="6E2270ED" w14:textId="23BDBA09" w:rsidR="007708D4" w:rsidRPr="008418D2" w:rsidRDefault="007708D4" w:rsidP="007708D4">
            <w:pPr>
              <w:pStyle w:val="ae"/>
              <w:widowControl w:val="0"/>
              <w:ind w:left="0" w:firstLine="567"/>
            </w:pPr>
            <w:r>
              <w:t>…</w:t>
            </w:r>
          </w:p>
          <w:p w14:paraId="3A532192" w14:textId="5A549B73" w:rsidR="007708D4" w:rsidRPr="00C77EBE" w:rsidRDefault="007708D4" w:rsidP="007708D4">
            <w:pPr>
              <w:widowControl w:val="0"/>
              <w:rPr>
                <w:b/>
                <w:strike/>
              </w:rPr>
            </w:pPr>
            <w:r w:rsidRPr="00C77EBE">
              <w:rPr>
                <w:b/>
                <w:strike/>
              </w:rPr>
              <w:t xml:space="preserve">7) сум страхових </w:t>
            </w:r>
            <w:r w:rsidRPr="00910FA0">
              <w:rPr>
                <w:b/>
                <w:strike/>
              </w:rPr>
              <w:t>платежів</w:t>
            </w:r>
            <w:r w:rsidRPr="00C77EBE">
              <w:rPr>
                <w:b/>
                <w:strike/>
              </w:rPr>
              <w:t xml:space="preserve">, які підлягають поверненню страхувальнику (перестрахувальнику) </w:t>
            </w:r>
            <w:r w:rsidRPr="00C77EBE">
              <w:rPr>
                <w:b/>
                <w:strike/>
              </w:rPr>
              <w:lastRenderedPageBreak/>
              <w:t>відповідно до умов договору або законодавства України;</w:t>
            </w:r>
          </w:p>
          <w:p w14:paraId="66079B38" w14:textId="12A1D899" w:rsidR="007708D4" w:rsidRPr="007708D4" w:rsidRDefault="007708D4" w:rsidP="007708D4">
            <w:pPr>
              <w:widowControl w:val="0"/>
              <w:ind w:left="602"/>
            </w:pPr>
            <w:r>
              <w:t>…</w:t>
            </w:r>
          </w:p>
        </w:tc>
        <w:tc>
          <w:tcPr>
            <w:tcW w:w="6875" w:type="dxa"/>
          </w:tcPr>
          <w:p w14:paraId="2D529724" w14:textId="77777777" w:rsidR="007708D4" w:rsidRPr="008418D2" w:rsidRDefault="007708D4" w:rsidP="007708D4">
            <w:pPr>
              <w:pStyle w:val="3"/>
              <w:keepNext w:val="0"/>
              <w:keepLines w:val="0"/>
              <w:widowControl w:val="0"/>
              <w:spacing w:before="0"/>
              <w:outlineLvl w:val="2"/>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73. </w:t>
            </w:r>
            <w:r w:rsidRPr="008418D2">
              <w:rPr>
                <w:rFonts w:ascii="Times New Roman" w:eastAsia="Times New Roman" w:hAnsi="Times New Roman" w:cs="Times New Roman"/>
                <w:color w:val="auto"/>
                <w:sz w:val="28"/>
                <w:szCs w:val="28"/>
              </w:rPr>
              <w:t>Сума прийнятних активів, яка відповідає належному обсягу прийнятних активів для покриття сформованих страховиком технічних резервів за договорами прямого страхування та договорами вхідного перестрахування, не включає так</w:t>
            </w:r>
            <w:r>
              <w:rPr>
                <w:rFonts w:ascii="Times New Roman" w:eastAsia="Times New Roman" w:hAnsi="Times New Roman" w:cs="Times New Roman"/>
                <w:color w:val="auto"/>
                <w:sz w:val="28"/>
                <w:szCs w:val="28"/>
              </w:rPr>
              <w:t>их</w:t>
            </w:r>
            <w:r w:rsidRPr="008418D2">
              <w:rPr>
                <w:rFonts w:ascii="Times New Roman" w:eastAsia="Times New Roman" w:hAnsi="Times New Roman" w:cs="Times New Roman"/>
                <w:color w:val="auto"/>
                <w:sz w:val="28"/>
                <w:szCs w:val="28"/>
              </w:rPr>
              <w:t xml:space="preserve"> актив</w:t>
            </w:r>
            <w:r>
              <w:rPr>
                <w:rFonts w:ascii="Times New Roman" w:eastAsia="Times New Roman" w:hAnsi="Times New Roman" w:cs="Times New Roman"/>
                <w:color w:val="auto"/>
                <w:sz w:val="28"/>
                <w:szCs w:val="28"/>
              </w:rPr>
              <w:t>ів</w:t>
            </w:r>
            <w:r w:rsidRPr="008418D2">
              <w:rPr>
                <w:rFonts w:ascii="Times New Roman" w:eastAsia="Times New Roman" w:hAnsi="Times New Roman" w:cs="Times New Roman"/>
                <w:color w:val="auto"/>
                <w:sz w:val="28"/>
                <w:szCs w:val="28"/>
              </w:rPr>
              <w:t>:</w:t>
            </w:r>
          </w:p>
          <w:p w14:paraId="547D0E3A" w14:textId="77777777" w:rsidR="007708D4" w:rsidRPr="008418D2" w:rsidRDefault="007708D4" w:rsidP="007708D4">
            <w:pPr>
              <w:pStyle w:val="ae"/>
              <w:widowControl w:val="0"/>
              <w:ind w:left="0" w:firstLine="567"/>
            </w:pPr>
            <w:r>
              <w:t>…</w:t>
            </w:r>
          </w:p>
          <w:p w14:paraId="5C97B237" w14:textId="39BB3919" w:rsidR="007708D4" w:rsidRPr="00C77EBE" w:rsidRDefault="00910FA0" w:rsidP="007708D4">
            <w:pPr>
              <w:widowControl w:val="0"/>
              <w:rPr>
                <w:b/>
              </w:rPr>
            </w:pPr>
            <w:r w:rsidRPr="00C77EBE">
              <w:rPr>
                <w:b/>
              </w:rPr>
              <w:t>виключити</w:t>
            </w:r>
          </w:p>
          <w:p w14:paraId="4CDA987F" w14:textId="429CDE71" w:rsidR="007708D4" w:rsidRPr="00F3558F" w:rsidRDefault="007708D4" w:rsidP="007708D4">
            <w:pPr>
              <w:pStyle w:val="rvps2"/>
              <w:shd w:val="clear" w:color="auto" w:fill="FFFFFF"/>
              <w:spacing w:before="0" w:beforeAutospacing="0" w:after="0" w:afterAutospacing="0"/>
              <w:jc w:val="both"/>
              <w:rPr>
                <w:sz w:val="28"/>
                <w:szCs w:val="28"/>
                <w:shd w:val="clear" w:color="auto" w:fill="FFFFFF"/>
              </w:rPr>
            </w:pPr>
            <w:r>
              <w:t>…</w:t>
            </w:r>
          </w:p>
        </w:tc>
      </w:tr>
      <w:tr w:rsidR="00FD0918" w:rsidRPr="00B73144" w14:paraId="2B184DF3" w14:textId="77777777" w:rsidTr="00FC7A3F">
        <w:trPr>
          <w:trHeight w:val="20"/>
        </w:trPr>
        <w:tc>
          <w:tcPr>
            <w:tcW w:w="704" w:type="dxa"/>
          </w:tcPr>
          <w:p w14:paraId="1BD4DAA6" w14:textId="77777777" w:rsidR="00FD0918" w:rsidRPr="00B73144" w:rsidRDefault="00FD0918" w:rsidP="00FD0918">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13750" w:type="dxa"/>
            <w:gridSpan w:val="2"/>
          </w:tcPr>
          <w:p w14:paraId="347FEF9E" w14:textId="6B580F3E" w:rsidR="00FD0918" w:rsidRPr="00FD0918" w:rsidRDefault="00FD0918" w:rsidP="00FD0918">
            <w:pPr>
              <w:pStyle w:val="rvps2"/>
              <w:shd w:val="clear" w:color="auto" w:fill="FFFFFF"/>
              <w:spacing w:before="0" w:beforeAutospacing="0" w:after="0" w:afterAutospacing="0"/>
              <w:ind w:firstLine="448"/>
              <w:jc w:val="center"/>
              <w:rPr>
                <w:color w:val="000000" w:themeColor="text1"/>
                <w:sz w:val="28"/>
                <w:szCs w:val="28"/>
              </w:rPr>
            </w:pPr>
            <w:r>
              <w:rPr>
                <w:b/>
                <w:color w:val="000000" w:themeColor="text1"/>
                <w:sz w:val="28"/>
              </w:rPr>
              <w:t xml:space="preserve">Додаток 1 до </w:t>
            </w:r>
            <w:r w:rsidRPr="00FD0918">
              <w:rPr>
                <w:b/>
                <w:color w:val="000000" w:themeColor="text1"/>
                <w:sz w:val="28"/>
              </w:rPr>
              <w:t>Положення про встановлення вимог щодо забезпечення платоспроможності та інвестиційної діяльності страховика, затверджене постановою Правління Національного банку України від 29 грудня 2023 року № 201 (зі змінами)</w:t>
            </w:r>
          </w:p>
        </w:tc>
      </w:tr>
      <w:tr w:rsidR="00DA225C" w:rsidRPr="00B73144" w14:paraId="10413EC2" w14:textId="77777777" w:rsidTr="00897A99">
        <w:trPr>
          <w:trHeight w:val="20"/>
        </w:trPr>
        <w:tc>
          <w:tcPr>
            <w:tcW w:w="704" w:type="dxa"/>
          </w:tcPr>
          <w:p w14:paraId="71BE0081" w14:textId="77777777" w:rsidR="00DA225C" w:rsidRPr="00B73144" w:rsidRDefault="00DA225C" w:rsidP="00DA225C">
            <w:pPr>
              <w:pStyle w:val="a4"/>
              <w:widowControl w:val="0"/>
              <w:numPr>
                <w:ilvl w:val="0"/>
                <w:numId w:val="6"/>
              </w:numPr>
              <w:tabs>
                <w:tab w:val="left" w:pos="177"/>
              </w:tabs>
              <w:spacing w:before="0" w:beforeAutospacing="0" w:after="0" w:afterAutospacing="0"/>
              <w:ind w:left="0" w:firstLine="0"/>
              <w:jc w:val="center"/>
              <w:rPr>
                <w:color w:val="000000" w:themeColor="text1"/>
                <w:sz w:val="28"/>
                <w:szCs w:val="28"/>
              </w:rPr>
            </w:pPr>
          </w:p>
        </w:tc>
        <w:tc>
          <w:tcPr>
            <w:tcW w:w="6875" w:type="dxa"/>
          </w:tcPr>
          <w:tbl>
            <w:tblPr>
              <w:tblStyle w:val="a3"/>
              <w:tblW w:w="6713" w:type="dxa"/>
              <w:tblBorders>
                <w:bottom w:val="none" w:sz="0" w:space="0" w:color="auto"/>
              </w:tblBorders>
              <w:tblLayout w:type="fixed"/>
              <w:tblCellMar>
                <w:left w:w="57" w:type="dxa"/>
                <w:right w:w="57" w:type="dxa"/>
              </w:tblCellMar>
              <w:tblLook w:val="04A0" w:firstRow="1" w:lastRow="0" w:firstColumn="1" w:lastColumn="0" w:noHBand="0" w:noVBand="1"/>
            </w:tblPr>
            <w:tblGrid>
              <w:gridCol w:w="319"/>
              <w:gridCol w:w="2410"/>
              <w:gridCol w:w="992"/>
              <w:gridCol w:w="992"/>
              <w:gridCol w:w="993"/>
              <w:gridCol w:w="992"/>
              <w:gridCol w:w="15"/>
            </w:tblGrid>
            <w:tr w:rsidR="00DA225C" w:rsidRPr="00FD0918" w14:paraId="4E15C365" w14:textId="77777777" w:rsidTr="000C425A">
              <w:trPr>
                <w:trHeight w:val="322"/>
              </w:trPr>
              <w:tc>
                <w:tcPr>
                  <w:tcW w:w="319" w:type="dxa"/>
                  <w:vMerge w:val="restart"/>
                  <w:vAlign w:val="center"/>
                </w:tcPr>
                <w:p w14:paraId="35C538E6" w14:textId="77777777" w:rsidR="00DA225C" w:rsidRPr="00FD0918" w:rsidRDefault="00DA225C" w:rsidP="00DA225C">
                  <w:pPr>
                    <w:widowControl w:val="0"/>
                    <w:jc w:val="center"/>
                    <w:rPr>
                      <w:sz w:val="16"/>
                      <w:szCs w:val="16"/>
                    </w:rPr>
                  </w:pPr>
                  <w:r w:rsidRPr="00FD0918">
                    <w:rPr>
                      <w:sz w:val="16"/>
                      <w:szCs w:val="16"/>
                    </w:rPr>
                    <w:t>№ з/п</w:t>
                  </w:r>
                </w:p>
              </w:tc>
              <w:tc>
                <w:tcPr>
                  <w:tcW w:w="2410" w:type="dxa"/>
                  <w:vMerge w:val="restart"/>
                  <w:vAlign w:val="center"/>
                </w:tcPr>
                <w:p w14:paraId="6A24AE09" w14:textId="77777777" w:rsidR="00DA225C" w:rsidRPr="00FD0918" w:rsidRDefault="00DA225C" w:rsidP="00DA225C">
                  <w:pPr>
                    <w:widowControl w:val="0"/>
                    <w:jc w:val="center"/>
                    <w:rPr>
                      <w:sz w:val="16"/>
                      <w:szCs w:val="16"/>
                    </w:rPr>
                  </w:pPr>
                  <w:r w:rsidRPr="00FD0918">
                    <w:rPr>
                      <w:sz w:val="16"/>
                      <w:szCs w:val="16"/>
                    </w:rPr>
                    <w:t xml:space="preserve">Актив, визначений відповідно до глави 6 розділу ІІ </w:t>
                  </w:r>
                  <w:r w:rsidRPr="00FD0918">
                    <w:rPr>
                      <w:rFonts w:eastAsiaTheme="majorEastAsia" w:cstheme="majorBidi"/>
                      <w:sz w:val="16"/>
                      <w:szCs w:val="16"/>
                    </w:rPr>
                    <w:t xml:space="preserve">Положення </w:t>
                  </w:r>
                  <w:r w:rsidRPr="00FD0918">
                    <w:rPr>
                      <w:rFonts w:eastAsia="SimSun"/>
                      <w:sz w:val="16"/>
                      <w:szCs w:val="16"/>
                    </w:rPr>
                    <w:t>про встановлення вимог щодо забезпечення платоспроможності та інвестиційної діяльності страховика (далі – Положення)</w:t>
                  </w:r>
                </w:p>
              </w:tc>
              <w:tc>
                <w:tcPr>
                  <w:tcW w:w="3984" w:type="dxa"/>
                  <w:gridSpan w:val="5"/>
                  <w:vAlign w:val="center"/>
                </w:tcPr>
                <w:p w14:paraId="1C359159" w14:textId="77777777" w:rsidR="00DA225C" w:rsidRPr="00FD0918" w:rsidRDefault="00DA225C" w:rsidP="00DA225C">
                  <w:pPr>
                    <w:widowControl w:val="0"/>
                    <w:jc w:val="center"/>
                    <w:rPr>
                      <w:sz w:val="16"/>
                      <w:szCs w:val="16"/>
                    </w:rPr>
                  </w:pPr>
                  <w:r w:rsidRPr="00FD0918">
                    <w:rPr>
                      <w:sz w:val="16"/>
                      <w:szCs w:val="16"/>
                    </w:rPr>
                    <w:t xml:space="preserve">Максимальний обсяг активу для включення до прийнятних активів </w:t>
                  </w:r>
                </w:p>
              </w:tc>
            </w:tr>
            <w:tr w:rsidR="00DA225C" w:rsidRPr="00FD0918" w14:paraId="6C841EEC" w14:textId="77777777" w:rsidTr="000C425A">
              <w:trPr>
                <w:gridAfter w:val="1"/>
                <w:wAfter w:w="15" w:type="dxa"/>
                <w:trHeight w:val="322"/>
              </w:trPr>
              <w:tc>
                <w:tcPr>
                  <w:tcW w:w="319" w:type="dxa"/>
                  <w:vMerge/>
                  <w:vAlign w:val="center"/>
                </w:tcPr>
                <w:p w14:paraId="33F5DF25" w14:textId="77777777" w:rsidR="00DA225C" w:rsidRPr="00FD0918" w:rsidRDefault="00DA225C" w:rsidP="00DA225C">
                  <w:pPr>
                    <w:widowControl w:val="0"/>
                    <w:jc w:val="center"/>
                    <w:rPr>
                      <w:sz w:val="16"/>
                      <w:szCs w:val="16"/>
                    </w:rPr>
                  </w:pPr>
                </w:p>
              </w:tc>
              <w:tc>
                <w:tcPr>
                  <w:tcW w:w="2410" w:type="dxa"/>
                  <w:vMerge/>
                  <w:vAlign w:val="center"/>
                </w:tcPr>
                <w:p w14:paraId="7A7E6608" w14:textId="77777777" w:rsidR="00DA225C" w:rsidRPr="00FD0918" w:rsidRDefault="00DA225C" w:rsidP="00DA225C">
                  <w:pPr>
                    <w:widowControl w:val="0"/>
                    <w:jc w:val="center"/>
                    <w:rPr>
                      <w:sz w:val="16"/>
                      <w:szCs w:val="16"/>
                    </w:rPr>
                  </w:pPr>
                </w:p>
              </w:tc>
              <w:tc>
                <w:tcPr>
                  <w:tcW w:w="1984" w:type="dxa"/>
                  <w:gridSpan w:val="2"/>
                  <w:vAlign w:val="center"/>
                </w:tcPr>
                <w:p w14:paraId="5E1D27B5" w14:textId="77777777" w:rsidR="00DA225C" w:rsidRPr="00FD0918" w:rsidRDefault="00DA225C" w:rsidP="00DA225C">
                  <w:pPr>
                    <w:widowControl w:val="0"/>
                    <w:jc w:val="center"/>
                    <w:rPr>
                      <w:sz w:val="16"/>
                      <w:szCs w:val="16"/>
                    </w:rPr>
                  </w:pPr>
                  <w:r w:rsidRPr="00FD0918">
                    <w:rPr>
                      <w:sz w:val="16"/>
                      <w:szCs w:val="16"/>
                    </w:rPr>
                    <w:t xml:space="preserve">для розрахунку регулятивного капіталу [у відсотках від </w:t>
                  </w:r>
                  <w:r w:rsidRPr="00FD0918">
                    <w:rPr>
                      <w:rFonts w:eastAsiaTheme="majorEastAsia" w:cstheme="majorBidi"/>
                      <w:sz w:val="16"/>
                      <w:szCs w:val="16"/>
                    </w:rPr>
                    <w:t>суми капіталу платоспроможності, що визначається відповідно до Положення</w:t>
                  </w:r>
                  <w:r w:rsidRPr="00FD0918">
                    <w:rPr>
                      <w:sz w:val="16"/>
                      <w:szCs w:val="16"/>
                    </w:rPr>
                    <w:t xml:space="preserve">, </w:t>
                  </w:r>
                  <w:r w:rsidRPr="00FD0918">
                    <w:rPr>
                      <w:rFonts w:eastAsiaTheme="majorEastAsia" w:cstheme="majorBidi"/>
                      <w:sz w:val="16"/>
                      <w:szCs w:val="16"/>
                    </w:rPr>
                    <w:t>та суми зобов’язань страховика, визначеної відповідно до підпункту 2 пункту 20 глави 4 розділу ІІ Положення]</w:t>
                  </w:r>
                </w:p>
              </w:tc>
              <w:tc>
                <w:tcPr>
                  <w:tcW w:w="1985" w:type="dxa"/>
                  <w:gridSpan w:val="2"/>
                  <w:vAlign w:val="center"/>
                </w:tcPr>
                <w:p w14:paraId="1F892CB0" w14:textId="77777777" w:rsidR="00DA225C" w:rsidRPr="00FD0918" w:rsidRDefault="00DA225C" w:rsidP="00DA225C">
                  <w:pPr>
                    <w:widowControl w:val="0"/>
                    <w:jc w:val="center"/>
                    <w:rPr>
                      <w:sz w:val="16"/>
                      <w:szCs w:val="16"/>
                    </w:rPr>
                  </w:pPr>
                  <w:r w:rsidRPr="00FD0918">
                    <w:rPr>
                      <w:sz w:val="16"/>
                      <w:szCs w:val="16"/>
                    </w:rPr>
                    <w:t xml:space="preserve">на покриття технічних резервів </w:t>
                  </w:r>
                  <w:r w:rsidRPr="00FD0918">
                    <w:rPr>
                      <w:sz w:val="16"/>
                      <w:szCs w:val="16"/>
                      <w:lang w:eastAsia="en-US"/>
                    </w:rPr>
                    <w:t xml:space="preserve">за договорами прямого </w:t>
                  </w:r>
                  <w:r w:rsidRPr="00FD0918">
                    <w:rPr>
                      <w:sz w:val="16"/>
                      <w:szCs w:val="16"/>
                    </w:rPr>
                    <w:t>страхування та договорами вхідного перестрахування (далі – технічні резерви) (у відсотках від технічних резервів)</w:t>
                  </w:r>
                </w:p>
              </w:tc>
            </w:tr>
            <w:tr w:rsidR="00DA225C" w:rsidRPr="00FD0918" w14:paraId="18E0A6FC" w14:textId="77777777" w:rsidTr="000C425A">
              <w:trPr>
                <w:gridAfter w:val="1"/>
                <w:wAfter w:w="15" w:type="dxa"/>
                <w:trHeight w:val="322"/>
              </w:trPr>
              <w:tc>
                <w:tcPr>
                  <w:tcW w:w="319" w:type="dxa"/>
                  <w:vMerge/>
                  <w:vAlign w:val="center"/>
                </w:tcPr>
                <w:p w14:paraId="23A32C69" w14:textId="77777777" w:rsidR="00DA225C" w:rsidRPr="00FD0918" w:rsidRDefault="00DA225C" w:rsidP="00DA225C">
                  <w:pPr>
                    <w:widowControl w:val="0"/>
                    <w:jc w:val="center"/>
                    <w:rPr>
                      <w:sz w:val="16"/>
                      <w:szCs w:val="16"/>
                    </w:rPr>
                  </w:pPr>
                </w:p>
              </w:tc>
              <w:tc>
                <w:tcPr>
                  <w:tcW w:w="2410" w:type="dxa"/>
                  <w:vMerge/>
                  <w:vAlign w:val="center"/>
                </w:tcPr>
                <w:p w14:paraId="45EB888B" w14:textId="77777777" w:rsidR="00DA225C" w:rsidRPr="00FD0918" w:rsidRDefault="00DA225C" w:rsidP="00DA225C">
                  <w:pPr>
                    <w:widowControl w:val="0"/>
                    <w:jc w:val="center"/>
                    <w:rPr>
                      <w:sz w:val="16"/>
                      <w:szCs w:val="16"/>
                    </w:rPr>
                  </w:pPr>
                </w:p>
              </w:tc>
              <w:tc>
                <w:tcPr>
                  <w:tcW w:w="992" w:type="dxa"/>
                  <w:vAlign w:val="center"/>
                </w:tcPr>
                <w:p w14:paraId="77E21283" w14:textId="77777777" w:rsidR="00DA225C" w:rsidRPr="00FD0918" w:rsidRDefault="00DA225C" w:rsidP="00DA225C">
                  <w:pPr>
                    <w:widowControl w:val="0"/>
                    <w:jc w:val="center"/>
                    <w:rPr>
                      <w:sz w:val="16"/>
                      <w:szCs w:val="16"/>
                    </w:rPr>
                  </w:pPr>
                  <w:r w:rsidRPr="00FD0918">
                    <w:rPr>
                      <w:sz w:val="16"/>
                      <w:szCs w:val="16"/>
                    </w:rPr>
                    <w:t>за класами страхування життя</w:t>
                  </w:r>
                </w:p>
              </w:tc>
              <w:tc>
                <w:tcPr>
                  <w:tcW w:w="992" w:type="dxa"/>
                </w:tcPr>
                <w:p w14:paraId="36ED1983" w14:textId="77777777" w:rsidR="00DA225C" w:rsidRPr="00FD0918" w:rsidRDefault="00DA225C" w:rsidP="00DA225C">
                  <w:pPr>
                    <w:widowControl w:val="0"/>
                    <w:jc w:val="center"/>
                    <w:rPr>
                      <w:sz w:val="16"/>
                      <w:szCs w:val="16"/>
                    </w:rPr>
                  </w:pPr>
                  <w:r w:rsidRPr="00FD0918">
                    <w:rPr>
                      <w:sz w:val="16"/>
                      <w:szCs w:val="16"/>
                    </w:rPr>
                    <w:t>за класами страхування іншого, ніж страхування життя</w:t>
                  </w:r>
                </w:p>
              </w:tc>
              <w:tc>
                <w:tcPr>
                  <w:tcW w:w="993" w:type="dxa"/>
                  <w:vAlign w:val="center"/>
                </w:tcPr>
                <w:p w14:paraId="40F87C0C" w14:textId="77777777" w:rsidR="00DA225C" w:rsidRPr="00FD0918" w:rsidRDefault="00DA225C" w:rsidP="00DA225C">
                  <w:pPr>
                    <w:widowControl w:val="0"/>
                    <w:jc w:val="center"/>
                    <w:rPr>
                      <w:sz w:val="16"/>
                      <w:szCs w:val="16"/>
                    </w:rPr>
                  </w:pPr>
                  <w:r w:rsidRPr="00FD0918">
                    <w:rPr>
                      <w:sz w:val="16"/>
                      <w:szCs w:val="16"/>
                    </w:rPr>
                    <w:t>за класами страхування життя</w:t>
                  </w:r>
                </w:p>
              </w:tc>
              <w:tc>
                <w:tcPr>
                  <w:tcW w:w="992" w:type="dxa"/>
                </w:tcPr>
                <w:p w14:paraId="17BBC0D0" w14:textId="77777777" w:rsidR="00DA225C" w:rsidRPr="00FD0918" w:rsidRDefault="00DA225C" w:rsidP="00DA225C">
                  <w:pPr>
                    <w:widowControl w:val="0"/>
                    <w:jc w:val="center"/>
                    <w:rPr>
                      <w:sz w:val="16"/>
                      <w:szCs w:val="16"/>
                    </w:rPr>
                  </w:pPr>
                  <w:r w:rsidRPr="00FD0918">
                    <w:rPr>
                      <w:sz w:val="16"/>
                      <w:szCs w:val="16"/>
                    </w:rPr>
                    <w:t>за класами страхування іншого, ніж страхування життя</w:t>
                  </w:r>
                </w:p>
              </w:tc>
            </w:tr>
          </w:tbl>
          <w:p w14:paraId="7D72C698" w14:textId="77777777" w:rsidR="00DA225C" w:rsidRPr="00A674A8" w:rsidRDefault="00DA225C" w:rsidP="00DA225C">
            <w:pPr>
              <w:pStyle w:val="af0"/>
              <w:tabs>
                <w:tab w:val="left" w:pos="675"/>
                <w:tab w:val="left" w:pos="5636"/>
              </w:tabs>
              <w:ind w:left="113"/>
              <w:jc w:val="left"/>
              <w:rPr>
                <w:sz w:val="2"/>
                <w:szCs w:val="2"/>
              </w:rPr>
            </w:pPr>
          </w:p>
          <w:tbl>
            <w:tblPr>
              <w:tblStyle w:val="a3"/>
              <w:tblW w:w="6698" w:type="dxa"/>
              <w:tblLayout w:type="fixed"/>
              <w:tblCellMar>
                <w:left w:w="57" w:type="dxa"/>
                <w:right w:w="57" w:type="dxa"/>
              </w:tblCellMar>
              <w:tblLook w:val="04A0" w:firstRow="1" w:lastRow="0" w:firstColumn="1" w:lastColumn="0" w:noHBand="0" w:noVBand="1"/>
            </w:tblPr>
            <w:tblGrid>
              <w:gridCol w:w="319"/>
              <w:gridCol w:w="2410"/>
              <w:gridCol w:w="992"/>
              <w:gridCol w:w="993"/>
              <w:gridCol w:w="992"/>
              <w:gridCol w:w="992"/>
            </w:tblGrid>
            <w:tr w:rsidR="00DA225C" w:rsidRPr="00FD0918" w14:paraId="78D6A330" w14:textId="77777777" w:rsidTr="000C425A">
              <w:trPr>
                <w:tblHeader/>
              </w:trPr>
              <w:tc>
                <w:tcPr>
                  <w:tcW w:w="319" w:type="dxa"/>
                  <w:vAlign w:val="center"/>
                </w:tcPr>
                <w:p w14:paraId="3739A623" w14:textId="77777777" w:rsidR="00DA225C" w:rsidRPr="00FD0918" w:rsidRDefault="00DA225C" w:rsidP="00DA225C">
                  <w:pPr>
                    <w:keepLines/>
                    <w:widowControl w:val="0"/>
                    <w:jc w:val="center"/>
                    <w:rPr>
                      <w:sz w:val="16"/>
                      <w:szCs w:val="16"/>
                    </w:rPr>
                  </w:pPr>
                  <w:r w:rsidRPr="00FD0918">
                    <w:rPr>
                      <w:sz w:val="16"/>
                      <w:szCs w:val="16"/>
                    </w:rPr>
                    <w:t>1</w:t>
                  </w:r>
                </w:p>
              </w:tc>
              <w:tc>
                <w:tcPr>
                  <w:tcW w:w="2410" w:type="dxa"/>
                  <w:vAlign w:val="center"/>
                </w:tcPr>
                <w:p w14:paraId="39A75C5D" w14:textId="77777777" w:rsidR="00DA225C" w:rsidRPr="00FD0918" w:rsidRDefault="00DA225C" w:rsidP="00DA225C">
                  <w:pPr>
                    <w:keepLines/>
                    <w:widowControl w:val="0"/>
                    <w:jc w:val="center"/>
                    <w:rPr>
                      <w:sz w:val="16"/>
                      <w:szCs w:val="16"/>
                    </w:rPr>
                  </w:pPr>
                  <w:r w:rsidRPr="00FD0918">
                    <w:rPr>
                      <w:sz w:val="16"/>
                      <w:szCs w:val="16"/>
                    </w:rPr>
                    <w:t>2</w:t>
                  </w:r>
                </w:p>
              </w:tc>
              <w:tc>
                <w:tcPr>
                  <w:tcW w:w="992" w:type="dxa"/>
                </w:tcPr>
                <w:p w14:paraId="648F38D8" w14:textId="77777777" w:rsidR="00DA225C" w:rsidRPr="00FD0918" w:rsidRDefault="00DA225C" w:rsidP="00DA225C">
                  <w:pPr>
                    <w:keepLines/>
                    <w:widowControl w:val="0"/>
                    <w:jc w:val="center"/>
                    <w:rPr>
                      <w:sz w:val="16"/>
                      <w:szCs w:val="16"/>
                    </w:rPr>
                  </w:pPr>
                  <w:r w:rsidRPr="00FD0918">
                    <w:rPr>
                      <w:sz w:val="16"/>
                      <w:szCs w:val="16"/>
                    </w:rPr>
                    <w:t>3</w:t>
                  </w:r>
                </w:p>
              </w:tc>
              <w:tc>
                <w:tcPr>
                  <w:tcW w:w="993" w:type="dxa"/>
                </w:tcPr>
                <w:p w14:paraId="6584A73C" w14:textId="77777777" w:rsidR="00DA225C" w:rsidRPr="00FD0918" w:rsidRDefault="00DA225C" w:rsidP="00DA225C">
                  <w:pPr>
                    <w:keepLines/>
                    <w:widowControl w:val="0"/>
                    <w:jc w:val="center"/>
                    <w:rPr>
                      <w:sz w:val="16"/>
                      <w:szCs w:val="16"/>
                    </w:rPr>
                  </w:pPr>
                  <w:r w:rsidRPr="00FD0918">
                    <w:rPr>
                      <w:sz w:val="16"/>
                      <w:szCs w:val="16"/>
                    </w:rPr>
                    <w:t>4</w:t>
                  </w:r>
                </w:p>
              </w:tc>
              <w:tc>
                <w:tcPr>
                  <w:tcW w:w="992" w:type="dxa"/>
                </w:tcPr>
                <w:p w14:paraId="2D1090CC" w14:textId="77777777" w:rsidR="00DA225C" w:rsidRPr="00FD0918" w:rsidRDefault="00DA225C" w:rsidP="00DA225C">
                  <w:pPr>
                    <w:keepLines/>
                    <w:widowControl w:val="0"/>
                    <w:jc w:val="center"/>
                    <w:rPr>
                      <w:sz w:val="16"/>
                      <w:szCs w:val="16"/>
                    </w:rPr>
                  </w:pPr>
                  <w:r w:rsidRPr="00FD0918">
                    <w:rPr>
                      <w:sz w:val="16"/>
                      <w:szCs w:val="16"/>
                    </w:rPr>
                    <w:t>5</w:t>
                  </w:r>
                </w:p>
              </w:tc>
              <w:tc>
                <w:tcPr>
                  <w:tcW w:w="992" w:type="dxa"/>
                </w:tcPr>
                <w:p w14:paraId="6F8FC071" w14:textId="77777777" w:rsidR="00DA225C" w:rsidRPr="00FD0918" w:rsidRDefault="00DA225C" w:rsidP="00DA225C">
                  <w:pPr>
                    <w:keepLines/>
                    <w:widowControl w:val="0"/>
                    <w:jc w:val="center"/>
                    <w:rPr>
                      <w:sz w:val="16"/>
                      <w:szCs w:val="16"/>
                    </w:rPr>
                  </w:pPr>
                  <w:r w:rsidRPr="00FD0918">
                    <w:rPr>
                      <w:sz w:val="16"/>
                      <w:szCs w:val="16"/>
                    </w:rPr>
                    <w:t>6</w:t>
                  </w:r>
                </w:p>
              </w:tc>
            </w:tr>
            <w:tr w:rsidR="00DA225C" w:rsidRPr="00FD0918" w14:paraId="0C3BDB30" w14:textId="77777777" w:rsidTr="000C425A">
              <w:tc>
                <w:tcPr>
                  <w:tcW w:w="319" w:type="dxa"/>
                  <w:vAlign w:val="center"/>
                </w:tcPr>
                <w:p w14:paraId="5D3F5741" w14:textId="77777777" w:rsidR="00DA225C" w:rsidRPr="00FD0918" w:rsidRDefault="00DA225C" w:rsidP="00DA225C">
                  <w:pPr>
                    <w:keepLines/>
                    <w:widowControl w:val="0"/>
                    <w:jc w:val="center"/>
                    <w:rPr>
                      <w:sz w:val="16"/>
                      <w:szCs w:val="16"/>
                    </w:rPr>
                  </w:pPr>
                  <w:r w:rsidRPr="00FD0918">
                    <w:rPr>
                      <w:sz w:val="16"/>
                      <w:szCs w:val="16"/>
                    </w:rPr>
                    <w:t>1</w:t>
                  </w:r>
                </w:p>
              </w:tc>
              <w:tc>
                <w:tcPr>
                  <w:tcW w:w="2410" w:type="dxa"/>
                  <w:vAlign w:val="center"/>
                </w:tcPr>
                <w:p w14:paraId="62034B54" w14:textId="77777777" w:rsidR="00DA225C" w:rsidRPr="00FD0918" w:rsidRDefault="00DA225C" w:rsidP="00DA225C">
                  <w:pPr>
                    <w:keepLines/>
                    <w:widowControl w:val="0"/>
                    <w:rPr>
                      <w:sz w:val="16"/>
                      <w:szCs w:val="16"/>
                    </w:rPr>
                  </w:pPr>
                  <w:r w:rsidRPr="00FD0918">
                    <w:rPr>
                      <w:sz w:val="16"/>
                      <w:szCs w:val="16"/>
                    </w:rPr>
                    <w:t>Грошові кошти на поточних рахунках, банківські вклади (депозити) та кошти на рахунках умовного зберігання (</w:t>
                  </w:r>
                  <w:proofErr w:type="spellStart"/>
                  <w:r w:rsidRPr="00FD0918">
                    <w:rPr>
                      <w:sz w:val="16"/>
                      <w:szCs w:val="16"/>
                    </w:rPr>
                    <w:t>ескроу</w:t>
                  </w:r>
                  <w:proofErr w:type="spellEnd"/>
                  <w:r w:rsidRPr="00FD0918">
                    <w:rPr>
                      <w:sz w:val="16"/>
                      <w:szCs w:val="16"/>
                    </w:rPr>
                    <w:t>), дебіторська заборгованість за нарахованими відсотками за такими рахунками та вкладами (депозитами)</w:t>
                  </w:r>
                </w:p>
              </w:tc>
              <w:tc>
                <w:tcPr>
                  <w:tcW w:w="1985" w:type="dxa"/>
                  <w:gridSpan w:val="2"/>
                  <w:vAlign w:val="center"/>
                </w:tcPr>
                <w:p w14:paraId="336DB2E1" w14:textId="77777777" w:rsidR="00DA225C" w:rsidRPr="00FD0918" w:rsidRDefault="00DA225C" w:rsidP="00DA225C">
                  <w:pPr>
                    <w:pStyle w:val="ae"/>
                    <w:keepLines/>
                    <w:widowControl w:val="0"/>
                    <w:tabs>
                      <w:tab w:val="left" w:pos="326"/>
                    </w:tabs>
                    <w:ind w:left="43"/>
                    <w:jc w:val="center"/>
                    <w:rPr>
                      <w:sz w:val="16"/>
                      <w:szCs w:val="16"/>
                    </w:rPr>
                  </w:pPr>
                  <w:r w:rsidRPr="00FD0918">
                    <w:rPr>
                      <w:sz w:val="16"/>
                      <w:szCs w:val="16"/>
                    </w:rPr>
                    <w:t>У повному обсязі</w:t>
                  </w:r>
                </w:p>
              </w:tc>
              <w:tc>
                <w:tcPr>
                  <w:tcW w:w="1984" w:type="dxa"/>
                  <w:gridSpan w:val="2"/>
                  <w:vAlign w:val="center"/>
                </w:tcPr>
                <w:p w14:paraId="127421A8" w14:textId="77777777" w:rsidR="00DA225C" w:rsidRPr="00FD0918" w:rsidRDefault="00DA225C" w:rsidP="00DA225C">
                  <w:pPr>
                    <w:pStyle w:val="ae"/>
                    <w:keepLines/>
                    <w:widowControl w:val="0"/>
                    <w:tabs>
                      <w:tab w:val="left" w:pos="326"/>
                    </w:tabs>
                    <w:ind w:left="43"/>
                    <w:jc w:val="center"/>
                    <w:rPr>
                      <w:sz w:val="16"/>
                      <w:szCs w:val="16"/>
                    </w:rPr>
                  </w:pPr>
                  <w:r w:rsidRPr="00FD0918">
                    <w:rPr>
                      <w:sz w:val="16"/>
                      <w:szCs w:val="16"/>
                    </w:rPr>
                    <w:t>У повному обсязі</w:t>
                  </w:r>
                </w:p>
              </w:tc>
            </w:tr>
            <w:tr w:rsidR="00DA225C" w:rsidRPr="00FD0918" w14:paraId="5D903531" w14:textId="77777777" w:rsidTr="000C425A">
              <w:tc>
                <w:tcPr>
                  <w:tcW w:w="319" w:type="dxa"/>
                  <w:vAlign w:val="center"/>
                </w:tcPr>
                <w:p w14:paraId="6F5479E8" w14:textId="77777777" w:rsidR="00DA225C" w:rsidRPr="00FD0918" w:rsidRDefault="00DA225C" w:rsidP="00DA225C">
                  <w:pPr>
                    <w:keepLines/>
                    <w:widowControl w:val="0"/>
                    <w:jc w:val="center"/>
                    <w:rPr>
                      <w:sz w:val="16"/>
                      <w:szCs w:val="16"/>
                    </w:rPr>
                  </w:pPr>
                  <w:r w:rsidRPr="00FD0918">
                    <w:rPr>
                      <w:sz w:val="16"/>
                      <w:szCs w:val="16"/>
                    </w:rPr>
                    <w:t>2</w:t>
                  </w:r>
                </w:p>
              </w:tc>
              <w:tc>
                <w:tcPr>
                  <w:tcW w:w="2410" w:type="dxa"/>
                  <w:vAlign w:val="center"/>
                </w:tcPr>
                <w:p w14:paraId="16D59F56" w14:textId="77777777" w:rsidR="00DA225C" w:rsidRPr="00FD0918" w:rsidRDefault="00DA225C" w:rsidP="00DA225C">
                  <w:pPr>
                    <w:keepLines/>
                    <w:widowControl w:val="0"/>
                    <w:rPr>
                      <w:sz w:val="16"/>
                      <w:szCs w:val="16"/>
                    </w:rPr>
                  </w:pPr>
                  <w:r w:rsidRPr="00FD0918">
                    <w:rPr>
                      <w:sz w:val="16"/>
                      <w:szCs w:val="16"/>
                    </w:rPr>
                    <w:t>Нерухоме майно</w:t>
                  </w:r>
                </w:p>
              </w:tc>
              <w:tc>
                <w:tcPr>
                  <w:tcW w:w="1985" w:type="dxa"/>
                  <w:gridSpan w:val="2"/>
                  <w:vAlign w:val="center"/>
                </w:tcPr>
                <w:p w14:paraId="1C4E6901" w14:textId="77777777" w:rsidR="00DA225C" w:rsidRPr="00FD0918" w:rsidRDefault="00DA225C" w:rsidP="00DA225C">
                  <w:pPr>
                    <w:keepLines/>
                    <w:widowControl w:val="0"/>
                    <w:ind w:left="43"/>
                    <w:jc w:val="center"/>
                    <w:rPr>
                      <w:sz w:val="16"/>
                      <w:szCs w:val="16"/>
                    </w:rPr>
                  </w:pPr>
                  <w:r w:rsidRPr="00FD0918">
                    <w:rPr>
                      <w:sz w:val="16"/>
                      <w:szCs w:val="16"/>
                      <w:lang w:eastAsia="en-US"/>
                    </w:rPr>
                    <w:t>20</w:t>
                  </w:r>
                  <w:r w:rsidRPr="00FD0918">
                    <w:rPr>
                      <w:sz w:val="16"/>
                      <w:szCs w:val="16"/>
                    </w:rPr>
                    <w:t>%,</w:t>
                  </w:r>
                </w:p>
                <w:p w14:paraId="071F1F23" w14:textId="77777777" w:rsidR="00DA225C" w:rsidRPr="00FD0918" w:rsidRDefault="00DA225C" w:rsidP="00DA225C">
                  <w:pPr>
                    <w:keepLines/>
                    <w:widowControl w:val="0"/>
                    <w:ind w:left="43"/>
                    <w:jc w:val="center"/>
                    <w:rPr>
                      <w:sz w:val="16"/>
                      <w:szCs w:val="16"/>
                    </w:rPr>
                  </w:pPr>
                  <w:r w:rsidRPr="00FD0918">
                    <w:rPr>
                      <w:sz w:val="16"/>
                      <w:szCs w:val="16"/>
                    </w:rPr>
                    <w:t>із них в один об’єкт нерухомого майна – 10%</w:t>
                  </w:r>
                </w:p>
              </w:tc>
              <w:tc>
                <w:tcPr>
                  <w:tcW w:w="1984" w:type="dxa"/>
                  <w:gridSpan w:val="2"/>
                  <w:vAlign w:val="center"/>
                </w:tcPr>
                <w:p w14:paraId="4FFA380A" w14:textId="77777777" w:rsidR="00DA225C" w:rsidRPr="00FD0918" w:rsidRDefault="00DA225C" w:rsidP="00DA225C">
                  <w:pPr>
                    <w:keepLines/>
                    <w:widowControl w:val="0"/>
                    <w:ind w:firstLine="43"/>
                    <w:jc w:val="center"/>
                    <w:rPr>
                      <w:sz w:val="16"/>
                      <w:szCs w:val="16"/>
                    </w:rPr>
                  </w:pPr>
                  <w:r w:rsidRPr="00FD0918">
                    <w:rPr>
                      <w:sz w:val="16"/>
                      <w:szCs w:val="16"/>
                    </w:rPr>
                    <w:t>20%,</w:t>
                  </w:r>
                </w:p>
                <w:p w14:paraId="4D44A58F" w14:textId="77777777" w:rsidR="00DA225C" w:rsidRPr="00FD0918" w:rsidRDefault="00DA225C" w:rsidP="00DA225C">
                  <w:pPr>
                    <w:keepLines/>
                    <w:widowControl w:val="0"/>
                    <w:ind w:firstLine="43"/>
                    <w:jc w:val="center"/>
                    <w:rPr>
                      <w:sz w:val="16"/>
                      <w:szCs w:val="16"/>
                    </w:rPr>
                  </w:pPr>
                  <w:r w:rsidRPr="00FD0918">
                    <w:rPr>
                      <w:sz w:val="16"/>
                      <w:szCs w:val="16"/>
                    </w:rPr>
                    <w:t>із них в один об’єкт нерухомого майна – 10%</w:t>
                  </w:r>
                </w:p>
              </w:tc>
            </w:tr>
            <w:tr w:rsidR="00DA225C" w:rsidRPr="00FD0918" w14:paraId="37DC3BC0" w14:textId="77777777" w:rsidTr="000C425A">
              <w:tc>
                <w:tcPr>
                  <w:tcW w:w="319" w:type="dxa"/>
                  <w:vAlign w:val="center"/>
                </w:tcPr>
                <w:p w14:paraId="00557544" w14:textId="77777777" w:rsidR="00DA225C" w:rsidRPr="00FD0918" w:rsidRDefault="00DA225C" w:rsidP="00DA225C">
                  <w:pPr>
                    <w:keepLines/>
                    <w:widowControl w:val="0"/>
                    <w:jc w:val="center"/>
                    <w:rPr>
                      <w:sz w:val="16"/>
                      <w:szCs w:val="16"/>
                    </w:rPr>
                  </w:pPr>
                  <w:r w:rsidRPr="00FD0918">
                    <w:rPr>
                      <w:sz w:val="16"/>
                      <w:szCs w:val="16"/>
                    </w:rPr>
                    <w:lastRenderedPageBreak/>
                    <w:t>3</w:t>
                  </w:r>
                </w:p>
              </w:tc>
              <w:tc>
                <w:tcPr>
                  <w:tcW w:w="2410" w:type="dxa"/>
                  <w:vAlign w:val="center"/>
                </w:tcPr>
                <w:p w14:paraId="69806AB9" w14:textId="77777777" w:rsidR="00DA225C" w:rsidRPr="00FD0918" w:rsidRDefault="00DA225C" w:rsidP="00DA225C">
                  <w:pPr>
                    <w:keepLines/>
                    <w:widowControl w:val="0"/>
                    <w:rPr>
                      <w:sz w:val="16"/>
                      <w:szCs w:val="16"/>
                    </w:rPr>
                  </w:pPr>
                  <w:r w:rsidRPr="00FD0918">
                    <w:rPr>
                      <w:sz w:val="16"/>
                      <w:szCs w:val="16"/>
                    </w:rPr>
                    <w:t>Цінні папери, а також дебіторська заборгованість за нарахованими відсотками за такими цінними паперами (у разі наявності умов нарахування відсотків за такими цінними паперами) згідно з таким переліком:</w:t>
                  </w:r>
                </w:p>
              </w:tc>
              <w:tc>
                <w:tcPr>
                  <w:tcW w:w="1985" w:type="dxa"/>
                  <w:gridSpan w:val="2"/>
                  <w:vAlign w:val="center"/>
                </w:tcPr>
                <w:p w14:paraId="7E8B1DD0" w14:textId="77777777" w:rsidR="00DA225C" w:rsidRPr="00FD0918" w:rsidRDefault="00DA225C" w:rsidP="00DA225C">
                  <w:pPr>
                    <w:keepLines/>
                    <w:widowControl w:val="0"/>
                    <w:ind w:firstLine="43"/>
                    <w:jc w:val="center"/>
                    <w:rPr>
                      <w:sz w:val="16"/>
                      <w:szCs w:val="16"/>
                    </w:rPr>
                  </w:pPr>
                  <w:r w:rsidRPr="00FD0918">
                    <w:rPr>
                      <w:sz w:val="16"/>
                      <w:szCs w:val="16"/>
                    </w:rPr>
                    <w:t>30%</w:t>
                  </w:r>
                </w:p>
              </w:tc>
              <w:tc>
                <w:tcPr>
                  <w:tcW w:w="1984" w:type="dxa"/>
                  <w:gridSpan w:val="2"/>
                  <w:vAlign w:val="center"/>
                </w:tcPr>
                <w:p w14:paraId="3A039E49" w14:textId="77777777" w:rsidR="00DA225C" w:rsidRPr="00FD0918" w:rsidRDefault="00DA225C" w:rsidP="00DA225C">
                  <w:pPr>
                    <w:keepLines/>
                    <w:widowControl w:val="0"/>
                    <w:ind w:firstLine="43"/>
                    <w:jc w:val="center"/>
                    <w:rPr>
                      <w:sz w:val="16"/>
                      <w:szCs w:val="16"/>
                    </w:rPr>
                  </w:pPr>
                  <w:r w:rsidRPr="00FD0918">
                    <w:rPr>
                      <w:sz w:val="16"/>
                      <w:szCs w:val="16"/>
                    </w:rPr>
                    <w:t>30%</w:t>
                  </w:r>
                </w:p>
              </w:tc>
            </w:tr>
            <w:tr w:rsidR="00DA225C" w:rsidRPr="00FD0918" w14:paraId="7EF803F4" w14:textId="77777777" w:rsidTr="000C425A">
              <w:tc>
                <w:tcPr>
                  <w:tcW w:w="319" w:type="dxa"/>
                  <w:vAlign w:val="center"/>
                </w:tcPr>
                <w:p w14:paraId="16ECF770" w14:textId="77777777" w:rsidR="00DA225C" w:rsidRPr="00FD0918" w:rsidRDefault="00DA225C" w:rsidP="00DA225C">
                  <w:pPr>
                    <w:keepLines/>
                    <w:widowControl w:val="0"/>
                    <w:jc w:val="center"/>
                    <w:rPr>
                      <w:sz w:val="16"/>
                      <w:szCs w:val="16"/>
                    </w:rPr>
                  </w:pPr>
                  <w:r w:rsidRPr="00FD0918">
                    <w:rPr>
                      <w:sz w:val="16"/>
                      <w:szCs w:val="16"/>
                    </w:rPr>
                    <w:t>4</w:t>
                  </w:r>
                </w:p>
              </w:tc>
              <w:tc>
                <w:tcPr>
                  <w:tcW w:w="2410" w:type="dxa"/>
                  <w:vAlign w:val="center"/>
                </w:tcPr>
                <w:p w14:paraId="1BDD507E" w14:textId="77777777" w:rsidR="00DA225C" w:rsidRPr="00FD0918" w:rsidRDefault="00DA225C" w:rsidP="00DA225C">
                  <w:pPr>
                    <w:keepLines/>
                    <w:widowControl w:val="0"/>
                    <w:rPr>
                      <w:sz w:val="16"/>
                      <w:szCs w:val="16"/>
                    </w:rPr>
                  </w:pPr>
                  <w:r w:rsidRPr="00FD0918">
                    <w:rPr>
                      <w:sz w:val="16"/>
                      <w:szCs w:val="16"/>
                    </w:rPr>
                    <w:t>акції українських емітентів</w:t>
                  </w:r>
                </w:p>
              </w:tc>
              <w:tc>
                <w:tcPr>
                  <w:tcW w:w="1985" w:type="dxa"/>
                  <w:gridSpan w:val="2"/>
                  <w:vAlign w:val="center"/>
                </w:tcPr>
                <w:p w14:paraId="1465AC38" w14:textId="77777777" w:rsidR="00DA225C" w:rsidRPr="00FD0918" w:rsidRDefault="00DA225C" w:rsidP="00DA225C">
                  <w:pPr>
                    <w:keepLines/>
                    <w:widowControl w:val="0"/>
                    <w:ind w:firstLine="43"/>
                    <w:jc w:val="center"/>
                    <w:rPr>
                      <w:sz w:val="16"/>
                      <w:szCs w:val="16"/>
                    </w:rPr>
                  </w:pPr>
                  <w:r w:rsidRPr="00FD0918">
                    <w:rPr>
                      <w:sz w:val="16"/>
                      <w:szCs w:val="16"/>
                    </w:rPr>
                    <w:t>3%</w:t>
                  </w:r>
                </w:p>
              </w:tc>
              <w:tc>
                <w:tcPr>
                  <w:tcW w:w="1984" w:type="dxa"/>
                  <w:gridSpan w:val="2"/>
                  <w:vAlign w:val="center"/>
                </w:tcPr>
                <w:p w14:paraId="1B8CADE6" w14:textId="77777777" w:rsidR="00DA225C" w:rsidRPr="00FD0918" w:rsidRDefault="00DA225C" w:rsidP="00DA225C">
                  <w:pPr>
                    <w:keepLines/>
                    <w:widowControl w:val="0"/>
                    <w:ind w:firstLine="43"/>
                    <w:jc w:val="center"/>
                    <w:rPr>
                      <w:sz w:val="16"/>
                      <w:szCs w:val="16"/>
                    </w:rPr>
                  </w:pPr>
                  <w:r w:rsidRPr="00FD0918">
                    <w:rPr>
                      <w:sz w:val="16"/>
                      <w:szCs w:val="16"/>
                    </w:rPr>
                    <w:t>3%</w:t>
                  </w:r>
                </w:p>
              </w:tc>
            </w:tr>
            <w:tr w:rsidR="00DA225C" w:rsidRPr="00FD0918" w14:paraId="16DD900C" w14:textId="77777777" w:rsidTr="000C425A">
              <w:tc>
                <w:tcPr>
                  <w:tcW w:w="319" w:type="dxa"/>
                  <w:vAlign w:val="center"/>
                </w:tcPr>
                <w:p w14:paraId="0BBC98B6" w14:textId="77777777" w:rsidR="00DA225C" w:rsidRPr="00FD0918" w:rsidRDefault="00DA225C" w:rsidP="00DA225C">
                  <w:pPr>
                    <w:keepLines/>
                    <w:widowControl w:val="0"/>
                    <w:jc w:val="center"/>
                    <w:rPr>
                      <w:sz w:val="16"/>
                      <w:szCs w:val="16"/>
                    </w:rPr>
                  </w:pPr>
                  <w:r w:rsidRPr="00FD0918">
                    <w:rPr>
                      <w:sz w:val="16"/>
                      <w:szCs w:val="16"/>
                    </w:rPr>
                    <w:t>5</w:t>
                  </w:r>
                </w:p>
              </w:tc>
              <w:tc>
                <w:tcPr>
                  <w:tcW w:w="2410" w:type="dxa"/>
                  <w:vAlign w:val="center"/>
                </w:tcPr>
                <w:p w14:paraId="5D3B3556" w14:textId="77777777" w:rsidR="00DA225C" w:rsidRPr="00FD0918" w:rsidRDefault="00DA225C" w:rsidP="00DA225C">
                  <w:pPr>
                    <w:keepLines/>
                    <w:widowControl w:val="0"/>
                    <w:rPr>
                      <w:sz w:val="16"/>
                      <w:szCs w:val="16"/>
                    </w:rPr>
                  </w:pPr>
                  <w:r w:rsidRPr="00FD0918">
                    <w:rPr>
                      <w:sz w:val="16"/>
                      <w:szCs w:val="16"/>
                    </w:rPr>
                    <w:t>акції іноземних емітентів</w:t>
                  </w:r>
                </w:p>
              </w:tc>
              <w:tc>
                <w:tcPr>
                  <w:tcW w:w="992" w:type="dxa"/>
                  <w:vAlign w:val="center"/>
                </w:tcPr>
                <w:p w14:paraId="437A1F6D" w14:textId="77777777" w:rsidR="00DA225C" w:rsidRPr="00FD0918" w:rsidRDefault="00DA225C" w:rsidP="00DA225C">
                  <w:pPr>
                    <w:keepLines/>
                    <w:widowControl w:val="0"/>
                    <w:ind w:firstLine="43"/>
                    <w:jc w:val="center"/>
                    <w:rPr>
                      <w:sz w:val="16"/>
                      <w:szCs w:val="16"/>
                    </w:rPr>
                  </w:pPr>
                  <w:r w:rsidRPr="00FD0918">
                    <w:rPr>
                      <w:sz w:val="16"/>
                      <w:szCs w:val="16"/>
                    </w:rPr>
                    <w:t>10%</w:t>
                  </w:r>
                </w:p>
              </w:tc>
              <w:tc>
                <w:tcPr>
                  <w:tcW w:w="993" w:type="dxa"/>
                  <w:vAlign w:val="center"/>
                </w:tcPr>
                <w:p w14:paraId="3F1463C0" w14:textId="77777777" w:rsidR="00DA225C" w:rsidRPr="00FD0918" w:rsidRDefault="00DA225C" w:rsidP="00DA225C">
                  <w:pPr>
                    <w:keepLines/>
                    <w:widowControl w:val="0"/>
                    <w:ind w:firstLine="43"/>
                    <w:jc w:val="center"/>
                    <w:rPr>
                      <w:sz w:val="16"/>
                      <w:szCs w:val="16"/>
                    </w:rPr>
                  </w:pPr>
                  <w:r w:rsidRPr="00FD0918">
                    <w:rPr>
                      <w:sz w:val="16"/>
                      <w:szCs w:val="16"/>
                    </w:rPr>
                    <w:t>3%</w:t>
                  </w:r>
                </w:p>
              </w:tc>
              <w:tc>
                <w:tcPr>
                  <w:tcW w:w="992" w:type="dxa"/>
                  <w:vAlign w:val="center"/>
                </w:tcPr>
                <w:p w14:paraId="0C439DB6" w14:textId="77777777" w:rsidR="00DA225C" w:rsidRPr="00FD0918" w:rsidRDefault="00DA225C" w:rsidP="00DA225C">
                  <w:pPr>
                    <w:keepLines/>
                    <w:widowControl w:val="0"/>
                    <w:ind w:firstLine="43"/>
                    <w:jc w:val="center"/>
                    <w:rPr>
                      <w:sz w:val="16"/>
                      <w:szCs w:val="16"/>
                    </w:rPr>
                  </w:pPr>
                  <w:r w:rsidRPr="00FD0918">
                    <w:rPr>
                      <w:sz w:val="16"/>
                      <w:szCs w:val="16"/>
                    </w:rPr>
                    <w:t>10%</w:t>
                  </w:r>
                </w:p>
              </w:tc>
              <w:tc>
                <w:tcPr>
                  <w:tcW w:w="992" w:type="dxa"/>
                  <w:vAlign w:val="center"/>
                </w:tcPr>
                <w:p w14:paraId="1906043E" w14:textId="77777777" w:rsidR="00DA225C" w:rsidRPr="00FD0918" w:rsidRDefault="00DA225C" w:rsidP="00DA225C">
                  <w:pPr>
                    <w:keepLines/>
                    <w:widowControl w:val="0"/>
                    <w:ind w:firstLine="43"/>
                    <w:jc w:val="center"/>
                    <w:rPr>
                      <w:sz w:val="16"/>
                      <w:szCs w:val="16"/>
                    </w:rPr>
                  </w:pPr>
                  <w:r w:rsidRPr="00FD0918">
                    <w:rPr>
                      <w:sz w:val="16"/>
                      <w:szCs w:val="16"/>
                    </w:rPr>
                    <w:t>3%</w:t>
                  </w:r>
                </w:p>
              </w:tc>
            </w:tr>
            <w:tr w:rsidR="00DA225C" w:rsidRPr="00FD0918" w14:paraId="0C454C7E" w14:textId="77777777" w:rsidTr="000C425A">
              <w:tc>
                <w:tcPr>
                  <w:tcW w:w="319" w:type="dxa"/>
                  <w:vAlign w:val="center"/>
                </w:tcPr>
                <w:p w14:paraId="4CEBE7D0" w14:textId="77777777" w:rsidR="00DA225C" w:rsidRPr="00FD0918" w:rsidRDefault="00DA225C" w:rsidP="00DA225C">
                  <w:pPr>
                    <w:keepLines/>
                    <w:widowControl w:val="0"/>
                    <w:jc w:val="center"/>
                    <w:rPr>
                      <w:sz w:val="16"/>
                      <w:szCs w:val="16"/>
                    </w:rPr>
                  </w:pPr>
                  <w:r w:rsidRPr="00FD0918">
                    <w:rPr>
                      <w:sz w:val="16"/>
                      <w:szCs w:val="16"/>
                    </w:rPr>
                    <w:t>6</w:t>
                  </w:r>
                </w:p>
              </w:tc>
              <w:tc>
                <w:tcPr>
                  <w:tcW w:w="2410" w:type="dxa"/>
                  <w:vAlign w:val="center"/>
                </w:tcPr>
                <w:p w14:paraId="1128ED08" w14:textId="77777777" w:rsidR="00DA225C" w:rsidRPr="00FD0918" w:rsidRDefault="00DA225C" w:rsidP="00DA225C">
                  <w:pPr>
                    <w:keepLines/>
                    <w:widowControl w:val="0"/>
                    <w:rPr>
                      <w:sz w:val="16"/>
                      <w:szCs w:val="16"/>
                    </w:rPr>
                  </w:pPr>
                  <w:r w:rsidRPr="00FD0918">
                    <w:rPr>
                      <w:sz w:val="16"/>
                      <w:szCs w:val="16"/>
                    </w:rPr>
                    <w:t>корпоративні облігації українських емітентів</w:t>
                  </w:r>
                </w:p>
              </w:tc>
              <w:tc>
                <w:tcPr>
                  <w:tcW w:w="1985" w:type="dxa"/>
                  <w:gridSpan w:val="2"/>
                  <w:vAlign w:val="center"/>
                </w:tcPr>
                <w:p w14:paraId="6A1A16E8"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10%</w:t>
                  </w:r>
                </w:p>
              </w:tc>
              <w:tc>
                <w:tcPr>
                  <w:tcW w:w="1984" w:type="dxa"/>
                  <w:gridSpan w:val="2"/>
                  <w:vAlign w:val="center"/>
                </w:tcPr>
                <w:p w14:paraId="05EDBBAB"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10%</w:t>
                  </w:r>
                </w:p>
              </w:tc>
            </w:tr>
            <w:tr w:rsidR="00DA225C" w:rsidRPr="00FD0918" w14:paraId="081B7861" w14:textId="77777777" w:rsidTr="000C425A">
              <w:tc>
                <w:tcPr>
                  <w:tcW w:w="319" w:type="dxa"/>
                  <w:vAlign w:val="center"/>
                </w:tcPr>
                <w:p w14:paraId="5994282E" w14:textId="77777777" w:rsidR="00DA225C" w:rsidRPr="00FD0918" w:rsidRDefault="00DA225C" w:rsidP="00DA225C">
                  <w:pPr>
                    <w:keepLines/>
                    <w:widowControl w:val="0"/>
                    <w:jc w:val="center"/>
                    <w:rPr>
                      <w:sz w:val="16"/>
                      <w:szCs w:val="16"/>
                    </w:rPr>
                  </w:pPr>
                  <w:r w:rsidRPr="00FD0918">
                    <w:rPr>
                      <w:sz w:val="16"/>
                      <w:szCs w:val="16"/>
                    </w:rPr>
                    <w:t>7</w:t>
                  </w:r>
                </w:p>
              </w:tc>
              <w:tc>
                <w:tcPr>
                  <w:tcW w:w="2410" w:type="dxa"/>
                  <w:vAlign w:val="center"/>
                </w:tcPr>
                <w:p w14:paraId="23D66593" w14:textId="77777777" w:rsidR="00DA225C" w:rsidRPr="00FD0918" w:rsidRDefault="00DA225C" w:rsidP="00DA225C">
                  <w:pPr>
                    <w:keepLines/>
                    <w:widowControl w:val="0"/>
                    <w:rPr>
                      <w:sz w:val="16"/>
                      <w:szCs w:val="16"/>
                    </w:rPr>
                  </w:pPr>
                  <w:r w:rsidRPr="00FD0918">
                    <w:rPr>
                      <w:sz w:val="16"/>
                      <w:szCs w:val="16"/>
                    </w:rPr>
                    <w:t>корпоративні облігації іноземних емітентів</w:t>
                  </w:r>
                </w:p>
              </w:tc>
              <w:tc>
                <w:tcPr>
                  <w:tcW w:w="1985" w:type="dxa"/>
                  <w:gridSpan w:val="2"/>
                  <w:vAlign w:val="center"/>
                </w:tcPr>
                <w:p w14:paraId="73036B5A" w14:textId="77777777" w:rsidR="00DA225C" w:rsidRPr="00FD0918" w:rsidRDefault="00DA225C" w:rsidP="00DA225C">
                  <w:pPr>
                    <w:keepLines/>
                    <w:widowControl w:val="0"/>
                    <w:jc w:val="center"/>
                    <w:rPr>
                      <w:sz w:val="16"/>
                      <w:szCs w:val="16"/>
                    </w:rPr>
                  </w:pPr>
                  <w:r w:rsidRPr="00FD0918">
                    <w:rPr>
                      <w:sz w:val="16"/>
                      <w:szCs w:val="16"/>
                    </w:rPr>
                    <w:t>10%</w:t>
                  </w:r>
                </w:p>
              </w:tc>
              <w:tc>
                <w:tcPr>
                  <w:tcW w:w="1984" w:type="dxa"/>
                  <w:gridSpan w:val="2"/>
                  <w:vAlign w:val="center"/>
                </w:tcPr>
                <w:p w14:paraId="653A4950" w14:textId="77777777" w:rsidR="00DA225C" w:rsidRPr="00FD0918" w:rsidRDefault="00DA225C" w:rsidP="00DA225C">
                  <w:pPr>
                    <w:keepLines/>
                    <w:widowControl w:val="0"/>
                    <w:jc w:val="center"/>
                    <w:rPr>
                      <w:sz w:val="16"/>
                      <w:szCs w:val="16"/>
                    </w:rPr>
                  </w:pPr>
                  <w:r w:rsidRPr="00FD0918">
                    <w:rPr>
                      <w:sz w:val="16"/>
                      <w:szCs w:val="16"/>
                    </w:rPr>
                    <w:t>10%</w:t>
                  </w:r>
                </w:p>
              </w:tc>
            </w:tr>
            <w:tr w:rsidR="00DA225C" w:rsidRPr="00FD0918" w14:paraId="0BFAFE50" w14:textId="77777777" w:rsidTr="000C425A">
              <w:tc>
                <w:tcPr>
                  <w:tcW w:w="319" w:type="dxa"/>
                  <w:vAlign w:val="center"/>
                </w:tcPr>
                <w:p w14:paraId="20E5CD73" w14:textId="77777777" w:rsidR="00DA225C" w:rsidRPr="00FD0918" w:rsidRDefault="00DA225C" w:rsidP="00DA225C">
                  <w:pPr>
                    <w:keepLines/>
                    <w:widowControl w:val="0"/>
                    <w:jc w:val="center"/>
                    <w:rPr>
                      <w:sz w:val="16"/>
                      <w:szCs w:val="16"/>
                    </w:rPr>
                  </w:pPr>
                  <w:r w:rsidRPr="00FD0918">
                    <w:rPr>
                      <w:sz w:val="16"/>
                      <w:szCs w:val="16"/>
                    </w:rPr>
                    <w:t>8</w:t>
                  </w:r>
                </w:p>
              </w:tc>
              <w:tc>
                <w:tcPr>
                  <w:tcW w:w="2410" w:type="dxa"/>
                  <w:vAlign w:val="center"/>
                </w:tcPr>
                <w:p w14:paraId="2B076EB3" w14:textId="77777777" w:rsidR="00DA225C" w:rsidRPr="00FD0918" w:rsidRDefault="00DA225C" w:rsidP="00DA225C">
                  <w:pPr>
                    <w:keepLines/>
                    <w:widowControl w:val="0"/>
                    <w:rPr>
                      <w:sz w:val="16"/>
                      <w:szCs w:val="16"/>
                    </w:rPr>
                  </w:pPr>
                  <w:r w:rsidRPr="00FD0918">
                    <w:rPr>
                      <w:sz w:val="16"/>
                      <w:szCs w:val="16"/>
                    </w:rPr>
                    <w:t>цінні папери іноземних держав-емітентів</w:t>
                  </w:r>
                </w:p>
              </w:tc>
              <w:tc>
                <w:tcPr>
                  <w:tcW w:w="1985" w:type="dxa"/>
                  <w:gridSpan w:val="2"/>
                  <w:vMerge w:val="restart"/>
                  <w:vAlign w:val="center"/>
                </w:tcPr>
                <w:p w14:paraId="572E8C29" w14:textId="77777777" w:rsidR="00DA225C" w:rsidRPr="00FD0918" w:rsidRDefault="00DA225C" w:rsidP="00DA225C">
                  <w:pPr>
                    <w:keepLines/>
                    <w:widowControl w:val="0"/>
                    <w:jc w:val="center"/>
                    <w:rPr>
                      <w:sz w:val="16"/>
                      <w:szCs w:val="16"/>
                    </w:rPr>
                  </w:pPr>
                  <w:r w:rsidRPr="00FD0918">
                    <w:rPr>
                      <w:sz w:val="16"/>
                      <w:szCs w:val="16"/>
                    </w:rPr>
                    <w:t>20%</w:t>
                  </w:r>
                </w:p>
              </w:tc>
              <w:tc>
                <w:tcPr>
                  <w:tcW w:w="1984" w:type="dxa"/>
                  <w:gridSpan w:val="2"/>
                  <w:vMerge w:val="restart"/>
                  <w:vAlign w:val="center"/>
                </w:tcPr>
                <w:p w14:paraId="2FC3F782" w14:textId="77777777" w:rsidR="00DA225C" w:rsidRPr="00FD0918" w:rsidRDefault="00DA225C" w:rsidP="00DA225C">
                  <w:pPr>
                    <w:keepLines/>
                    <w:widowControl w:val="0"/>
                    <w:jc w:val="center"/>
                    <w:rPr>
                      <w:sz w:val="16"/>
                      <w:szCs w:val="16"/>
                    </w:rPr>
                  </w:pPr>
                  <w:r w:rsidRPr="00FD0918">
                    <w:rPr>
                      <w:sz w:val="16"/>
                      <w:szCs w:val="16"/>
                    </w:rPr>
                    <w:t>20%</w:t>
                  </w:r>
                </w:p>
              </w:tc>
            </w:tr>
            <w:tr w:rsidR="00DA225C" w:rsidRPr="00FD0918" w14:paraId="0A785FEC" w14:textId="77777777" w:rsidTr="000C425A">
              <w:tc>
                <w:tcPr>
                  <w:tcW w:w="319" w:type="dxa"/>
                  <w:vAlign w:val="center"/>
                </w:tcPr>
                <w:p w14:paraId="36FAEC80" w14:textId="77777777" w:rsidR="00DA225C" w:rsidRPr="00FD0918" w:rsidRDefault="00DA225C" w:rsidP="00DA225C">
                  <w:pPr>
                    <w:keepLines/>
                    <w:widowControl w:val="0"/>
                    <w:jc w:val="center"/>
                    <w:rPr>
                      <w:sz w:val="16"/>
                      <w:szCs w:val="16"/>
                    </w:rPr>
                  </w:pPr>
                  <w:r w:rsidRPr="00FD0918">
                    <w:rPr>
                      <w:sz w:val="16"/>
                      <w:szCs w:val="16"/>
                    </w:rPr>
                    <w:t>9</w:t>
                  </w:r>
                </w:p>
              </w:tc>
              <w:tc>
                <w:tcPr>
                  <w:tcW w:w="2410" w:type="dxa"/>
                  <w:vAlign w:val="center"/>
                </w:tcPr>
                <w:p w14:paraId="534FAF22" w14:textId="77777777" w:rsidR="00DA225C" w:rsidRPr="00FD0918" w:rsidRDefault="00DA225C" w:rsidP="00DA225C">
                  <w:pPr>
                    <w:keepLines/>
                    <w:widowControl w:val="0"/>
                    <w:rPr>
                      <w:sz w:val="16"/>
                      <w:szCs w:val="16"/>
                    </w:rPr>
                  </w:pPr>
                  <w:r w:rsidRPr="00FD0918">
                    <w:rPr>
                      <w:sz w:val="16"/>
                      <w:szCs w:val="16"/>
                    </w:rPr>
                    <w:t>облігації міжнародних фінансових організацій</w:t>
                  </w:r>
                </w:p>
              </w:tc>
              <w:tc>
                <w:tcPr>
                  <w:tcW w:w="1985" w:type="dxa"/>
                  <w:gridSpan w:val="2"/>
                  <w:vMerge/>
                  <w:vAlign w:val="center"/>
                </w:tcPr>
                <w:p w14:paraId="32FE93E1" w14:textId="77777777" w:rsidR="00DA225C" w:rsidRPr="00FD0918" w:rsidRDefault="00DA225C" w:rsidP="00DA225C">
                  <w:pPr>
                    <w:keepLines/>
                    <w:widowControl w:val="0"/>
                    <w:jc w:val="center"/>
                    <w:rPr>
                      <w:sz w:val="16"/>
                      <w:szCs w:val="16"/>
                    </w:rPr>
                  </w:pPr>
                </w:p>
              </w:tc>
              <w:tc>
                <w:tcPr>
                  <w:tcW w:w="1984" w:type="dxa"/>
                  <w:gridSpan w:val="2"/>
                  <w:vMerge/>
                  <w:vAlign w:val="center"/>
                </w:tcPr>
                <w:p w14:paraId="6B7BE11F" w14:textId="77777777" w:rsidR="00DA225C" w:rsidRPr="00FD0918" w:rsidRDefault="00DA225C" w:rsidP="00DA225C">
                  <w:pPr>
                    <w:keepLines/>
                    <w:widowControl w:val="0"/>
                    <w:jc w:val="center"/>
                    <w:rPr>
                      <w:sz w:val="16"/>
                      <w:szCs w:val="16"/>
                    </w:rPr>
                  </w:pPr>
                </w:p>
              </w:tc>
            </w:tr>
            <w:tr w:rsidR="00DA225C" w:rsidRPr="00FD0918" w14:paraId="040C75BA" w14:textId="77777777" w:rsidTr="000C425A">
              <w:tc>
                <w:tcPr>
                  <w:tcW w:w="319" w:type="dxa"/>
                  <w:vAlign w:val="center"/>
                </w:tcPr>
                <w:p w14:paraId="47048560" w14:textId="77777777" w:rsidR="00DA225C" w:rsidRPr="00FD0918" w:rsidRDefault="00DA225C" w:rsidP="00DA225C">
                  <w:pPr>
                    <w:keepLines/>
                    <w:widowControl w:val="0"/>
                    <w:jc w:val="center"/>
                    <w:rPr>
                      <w:sz w:val="16"/>
                      <w:szCs w:val="16"/>
                    </w:rPr>
                  </w:pPr>
                  <w:r w:rsidRPr="00FD0918">
                    <w:rPr>
                      <w:sz w:val="16"/>
                      <w:szCs w:val="16"/>
                    </w:rPr>
                    <w:t>10</w:t>
                  </w:r>
                </w:p>
              </w:tc>
              <w:tc>
                <w:tcPr>
                  <w:tcW w:w="2410" w:type="dxa"/>
                  <w:vAlign w:val="center"/>
                </w:tcPr>
                <w:p w14:paraId="137D86E6" w14:textId="77777777" w:rsidR="00DA225C" w:rsidRPr="00FD0918" w:rsidRDefault="00DA225C" w:rsidP="00DA225C">
                  <w:pPr>
                    <w:keepLines/>
                    <w:widowControl w:val="0"/>
                    <w:rPr>
                      <w:sz w:val="16"/>
                      <w:szCs w:val="16"/>
                    </w:rPr>
                  </w:pPr>
                  <w:r w:rsidRPr="00FD0918">
                    <w:rPr>
                      <w:sz w:val="16"/>
                      <w:szCs w:val="16"/>
                    </w:rPr>
                    <w:t>облігації внутрішніх місцевих позик</w:t>
                  </w:r>
                </w:p>
              </w:tc>
              <w:tc>
                <w:tcPr>
                  <w:tcW w:w="1985" w:type="dxa"/>
                  <w:gridSpan w:val="2"/>
                  <w:vAlign w:val="center"/>
                </w:tcPr>
                <w:p w14:paraId="51ACE2EC" w14:textId="77777777" w:rsidR="00DA225C" w:rsidRPr="00FD0918" w:rsidRDefault="00DA225C" w:rsidP="00DA225C">
                  <w:pPr>
                    <w:keepLines/>
                    <w:widowControl w:val="0"/>
                    <w:jc w:val="center"/>
                    <w:rPr>
                      <w:sz w:val="16"/>
                      <w:szCs w:val="16"/>
                    </w:rPr>
                  </w:pPr>
                  <w:r w:rsidRPr="00FD0918">
                    <w:rPr>
                      <w:sz w:val="16"/>
                      <w:szCs w:val="16"/>
                    </w:rPr>
                    <w:t>10%</w:t>
                  </w:r>
                </w:p>
              </w:tc>
              <w:tc>
                <w:tcPr>
                  <w:tcW w:w="1984" w:type="dxa"/>
                  <w:gridSpan w:val="2"/>
                  <w:vAlign w:val="center"/>
                </w:tcPr>
                <w:p w14:paraId="708A4881" w14:textId="77777777" w:rsidR="00DA225C" w:rsidRPr="00FD0918" w:rsidRDefault="00DA225C" w:rsidP="00DA225C">
                  <w:pPr>
                    <w:keepLines/>
                    <w:widowControl w:val="0"/>
                    <w:jc w:val="center"/>
                    <w:rPr>
                      <w:sz w:val="16"/>
                      <w:szCs w:val="16"/>
                    </w:rPr>
                  </w:pPr>
                  <w:r w:rsidRPr="00FD0918">
                    <w:rPr>
                      <w:sz w:val="16"/>
                      <w:szCs w:val="16"/>
                    </w:rPr>
                    <w:t>10%</w:t>
                  </w:r>
                </w:p>
              </w:tc>
            </w:tr>
            <w:tr w:rsidR="00DA225C" w:rsidRPr="00FD0918" w14:paraId="6ACD7447" w14:textId="77777777" w:rsidTr="000C425A">
              <w:tc>
                <w:tcPr>
                  <w:tcW w:w="319" w:type="dxa"/>
                  <w:vAlign w:val="center"/>
                </w:tcPr>
                <w:p w14:paraId="6D0D1398" w14:textId="77777777" w:rsidR="00DA225C" w:rsidRPr="00FD0918" w:rsidRDefault="00DA225C" w:rsidP="00DA225C">
                  <w:pPr>
                    <w:keepLines/>
                    <w:widowControl w:val="0"/>
                    <w:jc w:val="center"/>
                    <w:rPr>
                      <w:sz w:val="16"/>
                      <w:szCs w:val="16"/>
                    </w:rPr>
                  </w:pPr>
                  <w:r w:rsidRPr="00FD0918">
                    <w:rPr>
                      <w:sz w:val="16"/>
                      <w:szCs w:val="16"/>
                    </w:rPr>
                    <w:t>11</w:t>
                  </w:r>
                </w:p>
              </w:tc>
              <w:tc>
                <w:tcPr>
                  <w:tcW w:w="2410" w:type="dxa"/>
                  <w:vAlign w:val="center"/>
                </w:tcPr>
                <w:p w14:paraId="29B5A2CF" w14:textId="77777777" w:rsidR="00DA225C" w:rsidRPr="00FD0918" w:rsidRDefault="00DA225C" w:rsidP="00DA225C">
                  <w:pPr>
                    <w:keepLines/>
                    <w:widowControl w:val="0"/>
                    <w:tabs>
                      <w:tab w:val="left" w:pos="1134"/>
                    </w:tabs>
                    <w:rPr>
                      <w:sz w:val="16"/>
                      <w:szCs w:val="16"/>
                    </w:rPr>
                  </w:pPr>
                  <w:r w:rsidRPr="00FD0918">
                    <w:rPr>
                      <w:sz w:val="16"/>
                      <w:szCs w:val="16"/>
                    </w:rPr>
                    <w:t xml:space="preserve">Державні облігації України </w:t>
                  </w:r>
                  <w:r w:rsidRPr="00DA225C">
                    <w:rPr>
                      <w:b/>
                      <w:strike/>
                      <w:sz w:val="16"/>
                      <w:szCs w:val="16"/>
                    </w:rPr>
                    <w:t>(крім облігацій зовнішніх державних позик України, придбаних / набутих у власність з 01 січня 2024 року)</w:t>
                  </w:r>
                  <w:r w:rsidRPr="00FD0918">
                    <w:rPr>
                      <w:sz w:val="16"/>
                      <w:szCs w:val="16"/>
                    </w:rPr>
                    <w:t>, а також дебіторська заборгованість за нарахованими відсотками за такими державними цінними паперами:</w:t>
                  </w:r>
                </w:p>
              </w:tc>
              <w:tc>
                <w:tcPr>
                  <w:tcW w:w="1985" w:type="dxa"/>
                  <w:gridSpan w:val="2"/>
                  <w:vAlign w:val="center"/>
                </w:tcPr>
                <w:p w14:paraId="3833AAF4" w14:textId="77777777" w:rsidR="00DA225C" w:rsidRPr="00FD0918" w:rsidRDefault="00DA225C" w:rsidP="00DA225C">
                  <w:pPr>
                    <w:keepLines/>
                    <w:widowControl w:val="0"/>
                    <w:tabs>
                      <w:tab w:val="left" w:pos="326"/>
                    </w:tabs>
                    <w:ind w:firstLine="43"/>
                    <w:jc w:val="center"/>
                    <w:rPr>
                      <w:sz w:val="16"/>
                      <w:szCs w:val="16"/>
                    </w:rPr>
                  </w:pPr>
                </w:p>
              </w:tc>
              <w:tc>
                <w:tcPr>
                  <w:tcW w:w="1984" w:type="dxa"/>
                  <w:gridSpan w:val="2"/>
                  <w:vAlign w:val="center"/>
                </w:tcPr>
                <w:p w14:paraId="31321E9F" w14:textId="77777777" w:rsidR="00DA225C" w:rsidRPr="00FD0918" w:rsidRDefault="00DA225C" w:rsidP="00DA225C">
                  <w:pPr>
                    <w:pStyle w:val="ae"/>
                    <w:keepLines/>
                    <w:widowControl w:val="0"/>
                    <w:tabs>
                      <w:tab w:val="left" w:pos="326"/>
                    </w:tabs>
                    <w:ind w:left="0" w:firstLine="43"/>
                    <w:jc w:val="center"/>
                    <w:rPr>
                      <w:sz w:val="16"/>
                      <w:szCs w:val="16"/>
                    </w:rPr>
                  </w:pPr>
                </w:p>
              </w:tc>
            </w:tr>
            <w:tr w:rsidR="00DA225C" w:rsidRPr="00FD0918" w14:paraId="3CBC30A8" w14:textId="77777777" w:rsidTr="000C425A">
              <w:tc>
                <w:tcPr>
                  <w:tcW w:w="319" w:type="dxa"/>
                  <w:vAlign w:val="center"/>
                </w:tcPr>
                <w:p w14:paraId="66F2C2AC" w14:textId="77777777" w:rsidR="00DA225C" w:rsidRPr="00FD0918" w:rsidRDefault="00DA225C" w:rsidP="00DA225C">
                  <w:pPr>
                    <w:keepLines/>
                    <w:widowControl w:val="0"/>
                    <w:jc w:val="center"/>
                    <w:rPr>
                      <w:sz w:val="16"/>
                      <w:szCs w:val="16"/>
                    </w:rPr>
                  </w:pPr>
                  <w:r w:rsidRPr="00FD0918">
                    <w:rPr>
                      <w:sz w:val="16"/>
                      <w:szCs w:val="16"/>
                    </w:rPr>
                    <w:t>12</w:t>
                  </w:r>
                </w:p>
              </w:tc>
              <w:tc>
                <w:tcPr>
                  <w:tcW w:w="2410" w:type="dxa"/>
                  <w:vAlign w:val="center"/>
                </w:tcPr>
                <w:p w14:paraId="04D478DB" w14:textId="40DA11AB" w:rsidR="00DA225C" w:rsidRPr="00FD0918" w:rsidRDefault="00DA225C" w:rsidP="00DA225C">
                  <w:pPr>
                    <w:keepLines/>
                    <w:widowControl w:val="0"/>
                    <w:tabs>
                      <w:tab w:val="left" w:pos="1134"/>
                    </w:tabs>
                    <w:rPr>
                      <w:sz w:val="16"/>
                      <w:szCs w:val="16"/>
                    </w:rPr>
                  </w:pPr>
                  <w:r w:rsidRPr="00FD0918">
                    <w:rPr>
                      <w:sz w:val="16"/>
                      <w:szCs w:val="16"/>
                    </w:rPr>
                    <w:t xml:space="preserve">зі строком погашення (від дати розрахунку регулятивного капіталу до дати погашення), що не перевищує одного року і шести місяців </w:t>
                  </w:r>
                </w:p>
              </w:tc>
              <w:tc>
                <w:tcPr>
                  <w:tcW w:w="992" w:type="dxa"/>
                  <w:vAlign w:val="center"/>
                </w:tcPr>
                <w:p w14:paraId="662D1D2F" w14:textId="77777777" w:rsidR="00DA225C" w:rsidRPr="00FD0918" w:rsidRDefault="00DA225C" w:rsidP="00DA225C">
                  <w:pPr>
                    <w:keepLines/>
                    <w:widowControl w:val="0"/>
                    <w:tabs>
                      <w:tab w:val="left" w:pos="326"/>
                    </w:tabs>
                    <w:ind w:firstLine="43"/>
                    <w:jc w:val="center"/>
                    <w:rPr>
                      <w:sz w:val="16"/>
                      <w:szCs w:val="16"/>
                    </w:rPr>
                  </w:pPr>
                  <w:r w:rsidRPr="00FD0918">
                    <w:rPr>
                      <w:sz w:val="16"/>
                      <w:szCs w:val="16"/>
                    </w:rPr>
                    <w:t>90%</w:t>
                  </w:r>
                </w:p>
              </w:tc>
              <w:tc>
                <w:tcPr>
                  <w:tcW w:w="993" w:type="dxa"/>
                  <w:vAlign w:val="center"/>
                </w:tcPr>
                <w:p w14:paraId="6BC573AE" w14:textId="77777777" w:rsidR="00DA225C" w:rsidRPr="00FD0918" w:rsidRDefault="00DA225C" w:rsidP="00DA225C">
                  <w:pPr>
                    <w:keepLines/>
                    <w:widowControl w:val="0"/>
                    <w:tabs>
                      <w:tab w:val="left" w:pos="326"/>
                    </w:tabs>
                    <w:ind w:firstLine="43"/>
                    <w:jc w:val="center"/>
                    <w:rPr>
                      <w:sz w:val="16"/>
                      <w:szCs w:val="16"/>
                    </w:rPr>
                  </w:pPr>
                  <w:r w:rsidRPr="00FD0918">
                    <w:rPr>
                      <w:sz w:val="16"/>
                      <w:szCs w:val="16"/>
                    </w:rPr>
                    <w:t>80%</w:t>
                  </w:r>
                </w:p>
              </w:tc>
              <w:tc>
                <w:tcPr>
                  <w:tcW w:w="992" w:type="dxa"/>
                  <w:vAlign w:val="center"/>
                </w:tcPr>
                <w:p w14:paraId="10F3D1BA"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90%</w:t>
                  </w:r>
                </w:p>
              </w:tc>
              <w:tc>
                <w:tcPr>
                  <w:tcW w:w="992" w:type="dxa"/>
                  <w:vAlign w:val="center"/>
                </w:tcPr>
                <w:p w14:paraId="74C17541"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80%</w:t>
                  </w:r>
                </w:p>
              </w:tc>
            </w:tr>
            <w:tr w:rsidR="00DA225C" w:rsidRPr="00FD0918" w14:paraId="22E7B9F7" w14:textId="77777777" w:rsidTr="000C425A">
              <w:tc>
                <w:tcPr>
                  <w:tcW w:w="319" w:type="dxa"/>
                  <w:vAlign w:val="center"/>
                </w:tcPr>
                <w:p w14:paraId="1AA36231" w14:textId="77777777" w:rsidR="00DA225C" w:rsidRPr="00FD0918" w:rsidRDefault="00DA225C" w:rsidP="00DA225C">
                  <w:pPr>
                    <w:keepLines/>
                    <w:widowControl w:val="0"/>
                    <w:jc w:val="center"/>
                    <w:rPr>
                      <w:sz w:val="16"/>
                      <w:szCs w:val="16"/>
                    </w:rPr>
                  </w:pPr>
                  <w:r w:rsidRPr="00FD0918">
                    <w:rPr>
                      <w:sz w:val="16"/>
                      <w:szCs w:val="16"/>
                    </w:rPr>
                    <w:t>13</w:t>
                  </w:r>
                </w:p>
              </w:tc>
              <w:tc>
                <w:tcPr>
                  <w:tcW w:w="2410" w:type="dxa"/>
                  <w:vAlign w:val="center"/>
                </w:tcPr>
                <w:p w14:paraId="16665B25" w14:textId="470F9A76" w:rsidR="00DA225C" w:rsidRPr="00FD0918" w:rsidRDefault="00DA225C" w:rsidP="00DA225C">
                  <w:pPr>
                    <w:keepLines/>
                    <w:widowControl w:val="0"/>
                    <w:tabs>
                      <w:tab w:val="left" w:pos="1134"/>
                    </w:tabs>
                    <w:rPr>
                      <w:sz w:val="16"/>
                      <w:szCs w:val="16"/>
                    </w:rPr>
                  </w:pPr>
                  <w:r w:rsidRPr="00FD0918">
                    <w:rPr>
                      <w:sz w:val="16"/>
                      <w:szCs w:val="16"/>
                    </w:rPr>
                    <w:t>зі строком погашення (від дати розрахунку регулятивного капіталу до дати погашення) більше одного року і шести місяців</w:t>
                  </w:r>
                </w:p>
              </w:tc>
              <w:tc>
                <w:tcPr>
                  <w:tcW w:w="992" w:type="dxa"/>
                  <w:vAlign w:val="center"/>
                </w:tcPr>
                <w:p w14:paraId="6FC34DFD" w14:textId="77777777" w:rsidR="00DA225C" w:rsidRPr="00FD0918" w:rsidRDefault="00DA225C" w:rsidP="00DA225C">
                  <w:pPr>
                    <w:keepLines/>
                    <w:widowControl w:val="0"/>
                    <w:tabs>
                      <w:tab w:val="left" w:pos="326"/>
                    </w:tabs>
                    <w:ind w:firstLine="43"/>
                    <w:jc w:val="center"/>
                    <w:rPr>
                      <w:sz w:val="16"/>
                      <w:szCs w:val="16"/>
                    </w:rPr>
                  </w:pPr>
                  <w:r w:rsidRPr="00FD0918">
                    <w:rPr>
                      <w:sz w:val="16"/>
                      <w:szCs w:val="16"/>
                    </w:rPr>
                    <w:t>80%</w:t>
                  </w:r>
                </w:p>
              </w:tc>
              <w:tc>
                <w:tcPr>
                  <w:tcW w:w="993" w:type="dxa"/>
                  <w:vAlign w:val="center"/>
                </w:tcPr>
                <w:p w14:paraId="3293E1EA" w14:textId="77777777" w:rsidR="00DA225C" w:rsidRPr="00FD0918" w:rsidRDefault="00DA225C" w:rsidP="00DA225C">
                  <w:pPr>
                    <w:keepLines/>
                    <w:widowControl w:val="0"/>
                    <w:tabs>
                      <w:tab w:val="left" w:pos="326"/>
                    </w:tabs>
                    <w:ind w:firstLine="43"/>
                    <w:jc w:val="center"/>
                    <w:rPr>
                      <w:sz w:val="16"/>
                      <w:szCs w:val="16"/>
                    </w:rPr>
                  </w:pPr>
                  <w:r w:rsidRPr="00FD0918">
                    <w:rPr>
                      <w:sz w:val="16"/>
                      <w:szCs w:val="16"/>
                    </w:rPr>
                    <w:t>60%</w:t>
                  </w:r>
                </w:p>
              </w:tc>
              <w:tc>
                <w:tcPr>
                  <w:tcW w:w="992" w:type="dxa"/>
                  <w:vAlign w:val="center"/>
                </w:tcPr>
                <w:p w14:paraId="6E4EA359"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80%</w:t>
                  </w:r>
                </w:p>
              </w:tc>
              <w:tc>
                <w:tcPr>
                  <w:tcW w:w="992" w:type="dxa"/>
                  <w:vAlign w:val="center"/>
                </w:tcPr>
                <w:p w14:paraId="59DD8943"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60%</w:t>
                  </w:r>
                </w:p>
              </w:tc>
            </w:tr>
            <w:tr w:rsidR="00DA225C" w:rsidRPr="00FD0918" w14:paraId="52CFE7B5" w14:textId="77777777" w:rsidTr="000C425A">
              <w:tc>
                <w:tcPr>
                  <w:tcW w:w="319" w:type="dxa"/>
                  <w:vAlign w:val="center"/>
                </w:tcPr>
                <w:p w14:paraId="2ED5FE6A" w14:textId="77777777" w:rsidR="00DA225C" w:rsidRPr="00FD0918" w:rsidRDefault="00DA225C" w:rsidP="00DA225C">
                  <w:pPr>
                    <w:keepLines/>
                    <w:widowControl w:val="0"/>
                    <w:jc w:val="center"/>
                    <w:rPr>
                      <w:sz w:val="16"/>
                      <w:szCs w:val="16"/>
                    </w:rPr>
                  </w:pPr>
                  <w:r w:rsidRPr="00FD0918">
                    <w:rPr>
                      <w:sz w:val="16"/>
                      <w:szCs w:val="16"/>
                    </w:rPr>
                    <w:t>14</w:t>
                  </w:r>
                </w:p>
              </w:tc>
              <w:tc>
                <w:tcPr>
                  <w:tcW w:w="2410" w:type="dxa"/>
                  <w:vAlign w:val="center"/>
                </w:tcPr>
                <w:p w14:paraId="628DFF7F" w14:textId="77777777" w:rsidR="00DA225C" w:rsidRPr="00FD0918" w:rsidRDefault="00DA225C" w:rsidP="00DA225C">
                  <w:pPr>
                    <w:keepLines/>
                    <w:widowControl w:val="0"/>
                    <w:tabs>
                      <w:tab w:val="left" w:pos="1134"/>
                    </w:tabs>
                    <w:rPr>
                      <w:sz w:val="16"/>
                      <w:szCs w:val="16"/>
                    </w:rPr>
                  </w:pPr>
                  <w:r w:rsidRPr="00FD0918">
                    <w:rPr>
                      <w:sz w:val="16"/>
                      <w:szCs w:val="16"/>
                    </w:rPr>
                    <w:t>Технічні резерви</w:t>
                  </w:r>
                  <w:r w:rsidRPr="00FD0918">
                    <w:rPr>
                      <w:sz w:val="16"/>
                      <w:szCs w:val="16"/>
                      <w:lang w:eastAsia="en-US"/>
                    </w:rPr>
                    <w:t xml:space="preserve"> за договорами ви</w:t>
                  </w:r>
                  <w:r w:rsidRPr="00FD0918">
                    <w:rPr>
                      <w:sz w:val="16"/>
                      <w:szCs w:val="16"/>
                    </w:rPr>
                    <w:t>хідного перестрахування згідно з таким переліком:</w:t>
                  </w:r>
                </w:p>
              </w:tc>
              <w:tc>
                <w:tcPr>
                  <w:tcW w:w="1985" w:type="dxa"/>
                  <w:gridSpan w:val="2"/>
                  <w:vAlign w:val="center"/>
                </w:tcPr>
                <w:p w14:paraId="7C8FA6EA" w14:textId="77777777" w:rsidR="00DA225C" w:rsidRPr="00FD0918" w:rsidRDefault="00DA225C" w:rsidP="00DA225C">
                  <w:pPr>
                    <w:keepLines/>
                    <w:widowControl w:val="0"/>
                    <w:ind w:firstLine="43"/>
                    <w:jc w:val="center"/>
                    <w:rPr>
                      <w:sz w:val="16"/>
                      <w:szCs w:val="16"/>
                    </w:rPr>
                  </w:pPr>
                </w:p>
              </w:tc>
              <w:tc>
                <w:tcPr>
                  <w:tcW w:w="1984" w:type="dxa"/>
                  <w:gridSpan w:val="2"/>
                </w:tcPr>
                <w:p w14:paraId="2E0361E9" w14:textId="77777777" w:rsidR="00DA225C" w:rsidRPr="00FD0918" w:rsidRDefault="00DA225C" w:rsidP="00DA225C">
                  <w:pPr>
                    <w:keepLines/>
                    <w:widowControl w:val="0"/>
                    <w:ind w:firstLine="43"/>
                    <w:jc w:val="center"/>
                    <w:rPr>
                      <w:sz w:val="16"/>
                      <w:szCs w:val="16"/>
                    </w:rPr>
                  </w:pPr>
                </w:p>
              </w:tc>
            </w:tr>
            <w:tr w:rsidR="00DA225C" w:rsidRPr="00FD0918" w14:paraId="7DE27CFC" w14:textId="77777777" w:rsidTr="000C425A">
              <w:tc>
                <w:tcPr>
                  <w:tcW w:w="319" w:type="dxa"/>
                  <w:vAlign w:val="center"/>
                </w:tcPr>
                <w:p w14:paraId="0CF8F036" w14:textId="77777777" w:rsidR="00DA225C" w:rsidRPr="00FD0918" w:rsidRDefault="00DA225C" w:rsidP="00DA225C">
                  <w:pPr>
                    <w:keepLines/>
                    <w:widowControl w:val="0"/>
                    <w:jc w:val="center"/>
                    <w:rPr>
                      <w:sz w:val="16"/>
                      <w:szCs w:val="16"/>
                    </w:rPr>
                  </w:pPr>
                  <w:r w:rsidRPr="00FD0918">
                    <w:rPr>
                      <w:sz w:val="16"/>
                      <w:szCs w:val="16"/>
                    </w:rPr>
                    <w:t>15</w:t>
                  </w:r>
                </w:p>
              </w:tc>
              <w:tc>
                <w:tcPr>
                  <w:tcW w:w="2410" w:type="dxa"/>
                  <w:vAlign w:val="center"/>
                </w:tcPr>
                <w:p w14:paraId="4523F8D8" w14:textId="77777777" w:rsidR="00DA225C" w:rsidRPr="00FD0918" w:rsidRDefault="00DA225C" w:rsidP="00DA225C">
                  <w:pPr>
                    <w:pStyle w:val="ae"/>
                    <w:keepLines/>
                    <w:widowControl w:val="0"/>
                    <w:tabs>
                      <w:tab w:val="left" w:pos="316"/>
                    </w:tabs>
                    <w:ind w:left="0"/>
                    <w:rPr>
                      <w:sz w:val="16"/>
                      <w:szCs w:val="16"/>
                    </w:rPr>
                  </w:pPr>
                  <w:r w:rsidRPr="00FD0918">
                    <w:rPr>
                      <w:sz w:val="16"/>
                      <w:szCs w:val="16"/>
                    </w:rPr>
                    <w:t xml:space="preserve">резерв збитків </w:t>
                  </w:r>
                  <w:r w:rsidRPr="00FD0918">
                    <w:rPr>
                      <w:sz w:val="16"/>
                      <w:szCs w:val="16"/>
                      <w:lang w:eastAsia="en-US"/>
                    </w:rPr>
                    <w:t>за договорами ви</w:t>
                  </w:r>
                  <w:r w:rsidRPr="00FD0918">
                    <w:rPr>
                      <w:sz w:val="16"/>
                      <w:szCs w:val="16"/>
                    </w:rPr>
                    <w:t>хідного перестрахування</w:t>
                  </w:r>
                </w:p>
              </w:tc>
              <w:tc>
                <w:tcPr>
                  <w:tcW w:w="1985" w:type="dxa"/>
                  <w:gridSpan w:val="2"/>
                  <w:vAlign w:val="center"/>
                </w:tcPr>
                <w:p w14:paraId="100E5D46" w14:textId="77777777" w:rsidR="00DA225C" w:rsidRPr="00FD0918" w:rsidRDefault="00DA225C" w:rsidP="00DA225C">
                  <w:pPr>
                    <w:keepLines/>
                    <w:widowControl w:val="0"/>
                    <w:jc w:val="center"/>
                    <w:rPr>
                      <w:sz w:val="16"/>
                      <w:szCs w:val="16"/>
                    </w:rPr>
                  </w:pPr>
                  <w:r w:rsidRPr="00FD0918">
                    <w:rPr>
                      <w:sz w:val="16"/>
                      <w:szCs w:val="16"/>
                    </w:rPr>
                    <w:t>У повному обсязі</w:t>
                  </w:r>
                </w:p>
              </w:tc>
              <w:tc>
                <w:tcPr>
                  <w:tcW w:w="1984" w:type="dxa"/>
                  <w:gridSpan w:val="2"/>
                  <w:vAlign w:val="center"/>
                </w:tcPr>
                <w:p w14:paraId="121D0200" w14:textId="77777777" w:rsidR="00DA225C" w:rsidRPr="00FD0918" w:rsidRDefault="00DA225C" w:rsidP="00DA225C">
                  <w:pPr>
                    <w:keepLines/>
                    <w:widowControl w:val="0"/>
                    <w:jc w:val="center"/>
                    <w:rPr>
                      <w:sz w:val="16"/>
                      <w:szCs w:val="16"/>
                    </w:rPr>
                  </w:pPr>
                  <w:r w:rsidRPr="00FD0918">
                    <w:rPr>
                      <w:sz w:val="16"/>
                      <w:szCs w:val="16"/>
                    </w:rPr>
                    <w:t>У повному обсязі</w:t>
                  </w:r>
                </w:p>
              </w:tc>
            </w:tr>
            <w:tr w:rsidR="00DA225C" w:rsidRPr="00FD0918" w14:paraId="0F8FBAAE" w14:textId="77777777" w:rsidTr="000C425A">
              <w:tc>
                <w:tcPr>
                  <w:tcW w:w="319" w:type="dxa"/>
                  <w:vAlign w:val="center"/>
                </w:tcPr>
                <w:p w14:paraId="74E1B838" w14:textId="77777777" w:rsidR="00DA225C" w:rsidRPr="00FD0918" w:rsidRDefault="00DA225C" w:rsidP="00DA225C">
                  <w:pPr>
                    <w:keepLines/>
                    <w:widowControl w:val="0"/>
                    <w:jc w:val="center"/>
                    <w:rPr>
                      <w:sz w:val="16"/>
                      <w:szCs w:val="16"/>
                    </w:rPr>
                  </w:pPr>
                  <w:r w:rsidRPr="00FD0918">
                    <w:rPr>
                      <w:sz w:val="16"/>
                      <w:szCs w:val="16"/>
                    </w:rPr>
                    <w:lastRenderedPageBreak/>
                    <w:t>16</w:t>
                  </w:r>
                </w:p>
              </w:tc>
              <w:tc>
                <w:tcPr>
                  <w:tcW w:w="2410" w:type="dxa"/>
                  <w:vAlign w:val="center"/>
                </w:tcPr>
                <w:p w14:paraId="6516E459" w14:textId="77777777" w:rsidR="00DA225C" w:rsidRDefault="00DA225C" w:rsidP="00DA225C">
                  <w:pPr>
                    <w:pStyle w:val="ae"/>
                    <w:keepLines/>
                    <w:widowControl w:val="0"/>
                    <w:tabs>
                      <w:tab w:val="left" w:pos="316"/>
                    </w:tabs>
                    <w:ind w:left="0"/>
                    <w:rPr>
                      <w:sz w:val="16"/>
                      <w:szCs w:val="16"/>
                      <w:lang w:eastAsia="en-US"/>
                    </w:rPr>
                  </w:pPr>
                  <w:r w:rsidRPr="00FD0918">
                    <w:rPr>
                      <w:sz w:val="16"/>
                      <w:szCs w:val="16"/>
                    </w:rPr>
                    <w:t xml:space="preserve">технічні резерви за договорами вихідного перестрахування ризиків за класом страхування 13, </w:t>
                  </w:r>
                  <w:r w:rsidRPr="00FD0918">
                    <w:rPr>
                      <w:sz w:val="16"/>
                      <w:szCs w:val="16"/>
                      <w:lang w:eastAsia="en-US"/>
                    </w:rPr>
                    <w:t>укладеними ядерним страховим пулом та/або уповноваженою ним особою, яка діє від імені страховиків – членів ядерного страхового пулу</w:t>
                  </w:r>
                </w:p>
                <w:p w14:paraId="3ABE5E3B" w14:textId="77777777" w:rsidR="00F46AE8" w:rsidRDefault="00F46AE8" w:rsidP="00DA225C">
                  <w:pPr>
                    <w:pStyle w:val="ae"/>
                    <w:keepLines/>
                    <w:widowControl w:val="0"/>
                    <w:tabs>
                      <w:tab w:val="left" w:pos="316"/>
                    </w:tabs>
                    <w:ind w:left="0"/>
                    <w:rPr>
                      <w:sz w:val="16"/>
                      <w:szCs w:val="16"/>
                      <w:lang w:eastAsia="en-US"/>
                    </w:rPr>
                  </w:pPr>
                </w:p>
                <w:p w14:paraId="7672D1BB" w14:textId="77777777" w:rsidR="00F46AE8" w:rsidRDefault="00F46AE8" w:rsidP="00DA225C">
                  <w:pPr>
                    <w:pStyle w:val="ae"/>
                    <w:keepLines/>
                    <w:widowControl w:val="0"/>
                    <w:tabs>
                      <w:tab w:val="left" w:pos="316"/>
                    </w:tabs>
                    <w:ind w:left="0"/>
                    <w:rPr>
                      <w:sz w:val="16"/>
                      <w:szCs w:val="16"/>
                      <w:lang w:eastAsia="en-US"/>
                    </w:rPr>
                  </w:pPr>
                </w:p>
                <w:p w14:paraId="1265331C" w14:textId="3431D2DA" w:rsidR="00F46AE8" w:rsidRPr="00FD0918" w:rsidRDefault="00F46AE8" w:rsidP="00DA225C">
                  <w:pPr>
                    <w:pStyle w:val="ae"/>
                    <w:keepLines/>
                    <w:widowControl w:val="0"/>
                    <w:tabs>
                      <w:tab w:val="left" w:pos="316"/>
                    </w:tabs>
                    <w:ind w:left="0"/>
                    <w:rPr>
                      <w:sz w:val="16"/>
                      <w:szCs w:val="16"/>
                    </w:rPr>
                  </w:pPr>
                </w:p>
              </w:tc>
              <w:tc>
                <w:tcPr>
                  <w:tcW w:w="1985" w:type="dxa"/>
                  <w:gridSpan w:val="2"/>
                  <w:vAlign w:val="center"/>
                </w:tcPr>
                <w:p w14:paraId="4F6668E7" w14:textId="77777777" w:rsidR="00DA225C" w:rsidRPr="00FD0918" w:rsidRDefault="00DA225C" w:rsidP="00DA225C">
                  <w:pPr>
                    <w:keepLines/>
                    <w:widowControl w:val="0"/>
                    <w:jc w:val="center"/>
                    <w:rPr>
                      <w:sz w:val="16"/>
                      <w:szCs w:val="16"/>
                    </w:rPr>
                  </w:pPr>
                  <w:r w:rsidRPr="00FD0918">
                    <w:rPr>
                      <w:sz w:val="16"/>
                      <w:szCs w:val="16"/>
                    </w:rPr>
                    <w:t>У повному обсязі</w:t>
                  </w:r>
                </w:p>
              </w:tc>
              <w:tc>
                <w:tcPr>
                  <w:tcW w:w="1984" w:type="dxa"/>
                  <w:gridSpan w:val="2"/>
                  <w:vAlign w:val="center"/>
                </w:tcPr>
                <w:p w14:paraId="26D33472" w14:textId="77777777" w:rsidR="00DA225C" w:rsidRPr="00FD0918" w:rsidRDefault="00DA225C" w:rsidP="00DA225C">
                  <w:pPr>
                    <w:keepLines/>
                    <w:widowControl w:val="0"/>
                    <w:jc w:val="center"/>
                    <w:rPr>
                      <w:sz w:val="16"/>
                      <w:szCs w:val="16"/>
                    </w:rPr>
                  </w:pPr>
                  <w:r w:rsidRPr="00FD0918">
                    <w:rPr>
                      <w:sz w:val="16"/>
                      <w:szCs w:val="16"/>
                    </w:rPr>
                    <w:t>У повному обсязі</w:t>
                  </w:r>
                </w:p>
              </w:tc>
            </w:tr>
            <w:tr w:rsidR="00DA225C" w:rsidRPr="00FD0918" w14:paraId="38CE8AF2" w14:textId="77777777" w:rsidTr="000C425A">
              <w:tc>
                <w:tcPr>
                  <w:tcW w:w="319" w:type="dxa"/>
                  <w:vAlign w:val="center"/>
                </w:tcPr>
                <w:p w14:paraId="17F960B5" w14:textId="77777777" w:rsidR="00DA225C" w:rsidRPr="00FD0918" w:rsidRDefault="00DA225C" w:rsidP="00DA225C">
                  <w:pPr>
                    <w:keepLines/>
                    <w:widowControl w:val="0"/>
                    <w:jc w:val="center"/>
                    <w:rPr>
                      <w:sz w:val="16"/>
                      <w:szCs w:val="16"/>
                    </w:rPr>
                  </w:pPr>
                  <w:r w:rsidRPr="00FD0918">
                    <w:rPr>
                      <w:sz w:val="16"/>
                      <w:szCs w:val="16"/>
                    </w:rPr>
                    <w:t>17</w:t>
                  </w:r>
                </w:p>
              </w:tc>
              <w:tc>
                <w:tcPr>
                  <w:tcW w:w="2410" w:type="dxa"/>
                  <w:vAlign w:val="center"/>
                </w:tcPr>
                <w:p w14:paraId="54FFBBC5" w14:textId="77777777" w:rsidR="00DA225C" w:rsidRPr="00FD0918" w:rsidRDefault="00DA225C" w:rsidP="00DA225C">
                  <w:pPr>
                    <w:pStyle w:val="ae"/>
                    <w:keepLines/>
                    <w:widowControl w:val="0"/>
                    <w:tabs>
                      <w:tab w:val="left" w:pos="316"/>
                    </w:tabs>
                    <w:ind w:left="0"/>
                    <w:rPr>
                      <w:sz w:val="16"/>
                      <w:szCs w:val="16"/>
                    </w:rPr>
                  </w:pPr>
                  <w:r w:rsidRPr="00FD0918">
                    <w:rPr>
                      <w:sz w:val="16"/>
                      <w:szCs w:val="16"/>
                    </w:rPr>
                    <w:t>інші технічні резерви за договорами вихідного перестрахування, крім зазначених у рядках 15, 16 таблиці додатка 1 до Положення:</w:t>
                  </w:r>
                </w:p>
              </w:tc>
              <w:tc>
                <w:tcPr>
                  <w:tcW w:w="1985" w:type="dxa"/>
                  <w:gridSpan w:val="2"/>
                  <w:vAlign w:val="center"/>
                </w:tcPr>
                <w:p w14:paraId="71D3615C" w14:textId="77777777" w:rsidR="00DA225C" w:rsidRPr="00FD0918" w:rsidRDefault="00DA225C" w:rsidP="00DA225C">
                  <w:pPr>
                    <w:keepLines/>
                    <w:widowControl w:val="0"/>
                    <w:jc w:val="center"/>
                    <w:rPr>
                      <w:sz w:val="16"/>
                      <w:szCs w:val="16"/>
                    </w:rPr>
                  </w:pPr>
                  <w:r w:rsidRPr="00FD0918">
                    <w:rPr>
                      <w:sz w:val="16"/>
                      <w:szCs w:val="16"/>
                    </w:rPr>
                    <w:t>У повному обсязі</w:t>
                  </w:r>
                </w:p>
              </w:tc>
              <w:tc>
                <w:tcPr>
                  <w:tcW w:w="1984" w:type="dxa"/>
                  <w:gridSpan w:val="2"/>
                  <w:vAlign w:val="center"/>
                </w:tcPr>
                <w:p w14:paraId="554AFCBC" w14:textId="77777777" w:rsidR="00DA225C" w:rsidRPr="00FD0918" w:rsidRDefault="00DA225C" w:rsidP="00DA225C">
                  <w:pPr>
                    <w:keepLines/>
                    <w:widowControl w:val="0"/>
                    <w:ind w:firstLine="43"/>
                    <w:jc w:val="center"/>
                    <w:rPr>
                      <w:sz w:val="16"/>
                      <w:szCs w:val="16"/>
                    </w:rPr>
                  </w:pPr>
                  <w:r w:rsidRPr="00FD0918">
                    <w:rPr>
                      <w:sz w:val="16"/>
                      <w:szCs w:val="16"/>
                    </w:rPr>
                    <w:t>50% технічних резервів за відповідними класами страхування, із них:</w:t>
                  </w:r>
                </w:p>
              </w:tc>
            </w:tr>
            <w:tr w:rsidR="00DA225C" w:rsidRPr="00FD0918" w14:paraId="385BDC64" w14:textId="77777777" w:rsidTr="000C425A">
              <w:tc>
                <w:tcPr>
                  <w:tcW w:w="319" w:type="dxa"/>
                  <w:vAlign w:val="center"/>
                </w:tcPr>
                <w:p w14:paraId="66B526CD" w14:textId="77777777" w:rsidR="00DA225C" w:rsidRPr="00FD0918" w:rsidRDefault="00DA225C" w:rsidP="00DA225C">
                  <w:pPr>
                    <w:keepLines/>
                    <w:widowControl w:val="0"/>
                    <w:jc w:val="center"/>
                    <w:rPr>
                      <w:sz w:val="16"/>
                      <w:szCs w:val="16"/>
                    </w:rPr>
                  </w:pPr>
                  <w:r w:rsidRPr="00FD0918">
                    <w:rPr>
                      <w:sz w:val="16"/>
                      <w:szCs w:val="16"/>
                    </w:rPr>
                    <w:t>18</w:t>
                  </w:r>
                </w:p>
              </w:tc>
              <w:tc>
                <w:tcPr>
                  <w:tcW w:w="2410" w:type="dxa"/>
                  <w:vAlign w:val="center"/>
                </w:tcPr>
                <w:p w14:paraId="4E9E6BDA" w14:textId="77777777" w:rsidR="00DA225C" w:rsidRPr="00FD0918" w:rsidRDefault="00DA225C" w:rsidP="00DA225C">
                  <w:pPr>
                    <w:keepLines/>
                    <w:widowControl w:val="0"/>
                    <w:tabs>
                      <w:tab w:val="left" w:pos="1134"/>
                    </w:tabs>
                    <w:rPr>
                      <w:sz w:val="16"/>
                      <w:szCs w:val="16"/>
                    </w:rPr>
                  </w:pPr>
                  <w:r w:rsidRPr="00FD0918">
                    <w:rPr>
                      <w:sz w:val="16"/>
                      <w:szCs w:val="16"/>
                    </w:rPr>
                    <w:t>з них технічні резерви</w:t>
                  </w:r>
                  <w:r w:rsidRPr="00FD0918">
                    <w:rPr>
                      <w:sz w:val="16"/>
                      <w:szCs w:val="16"/>
                      <w:lang w:eastAsia="en-US"/>
                    </w:rPr>
                    <w:t xml:space="preserve"> за договорами ви</w:t>
                  </w:r>
                  <w:r w:rsidRPr="00FD0918">
                    <w:rPr>
                      <w:sz w:val="16"/>
                      <w:szCs w:val="16"/>
                    </w:rPr>
                    <w:t xml:space="preserve">хідного перестрахування, укладеними з </w:t>
                  </w:r>
                  <w:proofErr w:type="spellStart"/>
                  <w:r w:rsidRPr="00FD0918">
                    <w:rPr>
                      <w:sz w:val="16"/>
                      <w:szCs w:val="16"/>
                    </w:rPr>
                    <w:t>перестраховиками</w:t>
                  </w:r>
                  <w:proofErr w:type="spellEnd"/>
                  <w:r w:rsidRPr="00FD0918">
                    <w:rPr>
                      <w:sz w:val="16"/>
                      <w:szCs w:val="16"/>
                    </w:rPr>
                    <w:t>-резидентами</w:t>
                  </w:r>
                </w:p>
              </w:tc>
              <w:tc>
                <w:tcPr>
                  <w:tcW w:w="1985" w:type="dxa"/>
                  <w:gridSpan w:val="2"/>
                  <w:vAlign w:val="center"/>
                </w:tcPr>
                <w:p w14:paraId="2E9C5AD2" w14:textId="77777777" w:rsidR="00DA225C" w:rsidRPr="00FD0918" w:rsidRDefault="00DA225C" w:rsidP="00DA225C">
                  <w:pPr>
                    <w:keepLines/>
                    <w:widowControl w:val="0"/>
                    <w:jc w:val="center"/>
                    <w:rPr>
                      <w:sz w:val="16"/>
                      <w:szCs w:val="16"/>
                    </w:rPr>
                  </w:pPr>
                  <w:r w:rsidRPr="00FD0918">
                    <w:rPr>
                      <w:sz w:val="16"/>
                      <w:szCs w:val="16"/>
                    </w:rPr>
                    <w:t>У повному обсязі</w:t>
                  </w:r>
                </w:p>
              </w:tc>
              <w:tc>
                <w:tcPr>
                  <w:tcW w:w="1984" w:type="dxa"/>
                  <w:gridSpan w:val="2"/>
                  <w:vAlign w:val="center"/>
                </w:tcPr>
                <w:p w14:paraId="3F54EED9" w14:textId="77777777" w:rsidR="00DA225C" w:rsidRPr="00FD0918" w:rsidRDefault="00DA225C" w:rsidP="00DA225C">
                  <w:pPr>
                    <w:keepLines/>
                    <w:widowControl w:val="0"/>
                    <w:ind w:firstLine="43"/>
                    <w:jc w:val="center"/>
                    <w:rPr>
                      <w:sz w:val="16"/>
                      <w:szCs w:val="16"/>
                    </w:rPr>
                  </w:pPr>
                  <w:r w:rsidRPr="00FD0918">
                    <w:rPr>
                      <w:sz w:val="16"/>
                      <w:szCs w:val="16"/>
                    </w:rPr>
                    <w:t>10%</w:t>
                  </w:r>
                </w:p>
              </w:tc>
            </w:tr>
            <w:tr w:rsidR="00DA225C" w:rsidRPr="00FD0918" w14:paraId="5C4BDCF3" w14:textId="77777777" w:rsidTr="000C425A">
              <w:tc>
                <w:tcPr>
                  <w:tcW w:w="319" w:type="dxa"/>
                  <w:vAlign w:val="center"/>
                </w:tcPr>
                <w:p w14:paraId="3722AED6" w14:textId="77777777" w:rsidR="00DA225C" w:rsidRPr="00FD0918" w:rsidRDefault="00DA225C" w:rsidP="00DA225C">
                  <w:pPr>
                    <w:keepLines/>
                    <w:widowControl w:val="0"/>
                    <w:jc w:val="center"/>
                    <w:rPr>
                      <w:sz w:val="16"/>
                      <w:szCs w:val="16"/>
                    </w:rPr>
                  </w:pPr>
                  <w:r w:rsidRPr="00FD0918">
                    <w:rPr>
                      <w:sz w:val="16"/>
                      <w:szCs w:val="16"/>
                    </w:rPr>
                    <w:t>19</w:t>
                  </w:r>
                </w:p>
              </w:tc>
              <w:tc>
                <w:tcPr>
                  <w:tcW w:w="2410" w:type="dxa"/>
                  <w:vAlign w:val="center"/>
                </w:tcPr>
                <w:p w14:paraId="489A1EA9" w14:textId="77777777" w:rsidR="00DA225C" w:rsidRPr="00FD0918" w:rsidRDefault="00DA225C" w:rsidP="00DA225C">
                  <w:pPr>
                    <w:pStyle w:val="ae"/>
                    <w:keepLines/>
                    <w:widowControl w:val="0"/>
                    <w:tabs>
                      <w:tab w:val="left" w:pos="316"/>
                    </w:tabs>
                    <w:ind w:left="0"/>
                    <w:rPr>
                      <w:sz w:val="16"/>
                      <w:szCs w:val="16"/>
                    </w:rPr>
                  </w:pPr>
                  <w:r w:rsidRPr="00FD0918">
                    <w:rPr>
                      <w:sz w:val="16"/>
                      <w:szCs w:val="16"/>
                    </w:rPr>
                    <w:t>з них технічні резерви</w:t>
                  </w:r>
                  <w:r w:rsidRPr="00FD0918">
                    <w:rPr>
                      <w:sz w:val="16"/>
                      <w:szCs w:val="16"/>
                      <w:lang w:eastAsia="en-US"/>
                    </w:rPr>
                    <w:t xml:space="preserve"> за договорами ви</w:t>
                  </w:r>
                  <w:r w:rsidRPr="00FD0918">
                    <w:rPr>
                      <w:sz w:val="16"/>
                      <w:szCs w:val="16"/>
                    </w:rPr>
                    <w:t xml:space="preserve">хідного перестрахування, укладеними з </w:t>
                  </w:r>
                  <w:proofErr w:type="spellStart"/>
                  <w:r w:rsidRPr="00FD0918">
                    <w:rPr>
                      <w:sz w:val="16"/>
                      <w:szCs w:val="16"/>
                    </w:rPr>
                    <w:t>перестраховиками</w:t>
                  </w:r>
                  <w:proofErr w:type="spellEnd"/>
                  <w:r w:rsidRPr="00FD0918">
                    <w:rPr>
                      <w:sz w:val="16"/>
                      <w:szCs w:val="16"/>
                    </w:rPr>
                    <w:t>-нерезидентами</w:t>
                  </w:r>
                </w:p>
              </w:tc>
              <w:tc>
                <w:tcPr>
                  <w:tcW w:w="1985" w:type="dxa"/>
                  <w:gridSpan w:val="2"/>
                  <w:vAlign w:val="center"/>
                </w:tcPr>
                <w:p w14:paraId="5B9707D8" w14:textId="77777777" w:rsidR="00DA225C" w:rsidRPr="00FD0918" w:rsidRDefault="00DA225C" w:rsidP="00DA225C">
                  <w:pPr>
                    <w:keepLines/>
                    <w:widowControl w:val="0"/>
                    <w:jc w:val="center"/>
                    <w:rPr>
                      <w:sz w:val="16"/>
                      <w:szCs w:val="16"/>
                    </w:rPr>
                  </w:pPr>
                  <w:r w:rsidRPr="00FD0918">
                    <w:rPr>
                      <w:sz w:val="16"/>
                      <w:szCs w:val="16"/>
                    </w:rPr>
                    <w:t>У повному обсязі</w:t>
                  </w:r>
                </w:p>
              </w:tc>
              <w:tc>
                <w:tcPr>
                  <w:tcW w:w="992" w:type="dxa"/>
                  <w:vAlign w:val="center"/>
                </w:tcPr>
                <w:p w14:paraId="4C14CA20" w14:textId="77777777" w:rsidR="00DA225C" w:rsidRPr="00FD0918" w:rsidRDefault="00DA225C" w:rsidP="00DA225C">
                  <w:pPr>
                    <w:keepLines/>
                    <w:widowControl w:val="0"/>
                    <w:ind w:firstLine="43"/>
                    <w:jc w:val="center"/>
                    <w:rPr>
                      <w:sz w:val="16"/>
                      <w:szCs w:val="16"/>
                    </w:rPr>
                  </w:pPr>
                  <w:r w:rsidRPr="00FD0918">
                    <w:rPr>
                      <w:sz w:val="16"/>
                      <w:szCs w:val="16"/>
                    </w:rPr>
                    <w:t>40%</w:t>
                  </w:r>
                </w:p>
              </w:tc>
              <w:tc>
                <w:tcPr>
                  <w:tcW w:w="992" w:type="dxa"/>
                  <w:vAlign w:val="center"/>
                </w:tcPr>
                <w:p w14:paraId="549B139A" w14:textId="77777777" w:rsidR="00DA225C" w:rsidRPr="00FD0918" w:rsidRDefault="00DA225C" w:rsidP="00DA225C">
                  <w:pPr>
                    <w:keepLines/>
                    <w:widowControl w:val="0"/>
                    <w:ind w:firstLine="43"/>
                    <w:jc w:val="center"/>
                    <w:rPr>
                      <w:sz w:val="16"/>
                      <w:szCs w:val="16"/>
                    </w:rPr>
                  </w:pPr>
                  <w:r w:rsidRPr="00FD0918">
                    <w:rPr>
                      <w:sz w:val="16"/>
                      <w:szCs w:val="16"/>
                    </w:rPr>
                    <w:t>У межах обсягу, визначеного в колонках 5, 6 рядка 17 таблиці додатка 1 до Положення</w:t>
                  </w:r>
                </w:p>
              </w:tc>
            </w:tr>
            <w:tr w:rsidR="00DA225C" w:rsidRPr="00FD0918" w14:paraId="614B99CA" w14:textId="77777777" w:rsidTr="000C425A">
              <w:tc>
                <w:tcPr>
                  <w:tcW w:w="319" w:type="dxa"/>
                  <w:vAlign w:val="center"/>
                </w:tcPr>
                <w:p w14:paraId="65684698" w14:textId="77777777" w:rsidR="00DA225C" w:rsidRPr="00F46AE8" w:rsidRDefault="00DA225C" w:rsidP="00DA225C">
                  <w:pPr>
                    <w:keepLines/>
                    <w:widowControl w:val="0"/>
                    <w:jc w:val="center"/>
                    <w:rPr>
                      <w:sz w:val="16"/>
                      <w:szCs w:val="16"/>
                    </w:rPr>
                  </w:pPr>
                  <w:r w:rsidRPr="00F46AE8">
                    <w:rPr>
                      <w:sz w:val="16"/>
                      <w:szCs w:val="16"/>
                    </w:rPr>
                    <w:t>20</w:t>
                  </w:r>
                </w:p>
              </w:tc>
              <w:tc>
                <w:tcPr>
                  <w:tcW w:w="2410" w:type="dxa"/>
                  <w:vAlign w:val="center"/>
                </w:tcPr>
                <w:p w14:paraId="6C6919C5" w14:textId="77777777" w:rsidR="00DA225C" w:rsidRPr="00FD0918" w:rsidRDefault="00DA225C" w:rsidP="00DA225C">
                  <w:pPr>
                    <w:keepLines/>
                    <w:widowControl w:val="0"/>
                    <w:tabs>
                      <w:tab w:val="left" w:pos="1134"/>
                    </w:tabs>
                    <w:rPr>
                      <w:sz w:val="16"/>
                      <w:szCs w:val="16"/>
                    </w:rPr>
                  </w:pPr>
                  <w:r w:rsidRPr="00FD0918">
                    <w:rPr>
                      <w:sz w:val="16"/>
                      <w:szCs w:val="16"/>
                    </w:rPr>
                    <w:t>Кредити страхувальникам ‒ фізичним особам, що відповідають вимогам законодавства України, яке встановлює порядок та умови видачі страховиком таких кредитів</w:t>
                  </w:r>
                </w:p>
              </w:tc>
              <w:tc>
                <w:tcPr>
                  <w:tcW w:w="992" w:type="dxa"/>
                  <w:vAlign w:val="center"/>
                </w:tcPr>
                <w:p w14:paraId="170E91A1" w14:textId="77777777" w:rsidR="00DA225C" w:rsidRPr="00FD0918" w:rsidRDefault="00DA225C" w:rsidP="00DA225C">
                  <w:pPr>
                    <w:keepLines/>
                    <w:widowControl w:val="0"/>
                    <w:ind w:firstLine="43"/>
                    <w:jc w:val="center"/>
                    <w:rPr>
                      <w:sz w:val="16"/>
                      <w:szCs w:val="16"/>
                    </w:rPr>
                  </w:pPr>
                  <w:r w:rsidRPr="00FD0918">
                    <w:rPr>
                      <w:sz w:val="16"/>
                      <w:szCs w:val="16"/>
                    </w:rPr>
                    <w:t>У повному обсязі</w:t>
                  </w:r>
                </w:p>
              </w:tc>
              <w:tc>
                <w:tcPr>
                  <w:tcW w:w="993" w:type="dxa"/>
                  <w:vAlign w:val="center"/>
                </w:tcPr>
                <w:p w14:paraId="24F59918" w14:textId="77777777" w:rsidR="00DA225C" w:rsidRPr="00FD0918" w:rsidRDefault="00DA225C" w:rsidP="00DA225C">
                  <w:pPr>
                    <w:keepLines/>
                    <w:widowControl w:val="0"/>
                    <w:ind w:firstLine="43"/>
                    <w:jc w:val="center"/>
                    <w:rPr>
                      <w:sz w:val="16"/>
                      <w:szCs w:val="16"/>
                    </w:rPr>
                  </w:pPr>
                  <w:r w:rsidRPr="00FD0918">
                    <w:rPr>
                      <w:sz w:val="16"/>
                      <w:szCs w:val="16"/>
                    </w:rPr>
                    <w:t>Не застосовується</w:t>
                  </w:r>
                </w:p>
              </w:tc>
              <w:tc>
                <w:tcPr>
                  <w:tcW w:w="992" w:type="dxa"/>
                  <w:vAlign w:val="center"/>
                </w:tcPr>
                <w:p w14:paraId="7CFEEBC2" w14:textId="77777777" w:rsidR="00DA225C" w:rsidRPr="00FD0918" w:rsidRDefault="00DA225C" w:rsidP="00DA225C">
                  <w:pPr>
                    <w:keepLines/>
                    <w:widowControl w:val="0"/>
                    <w:ind w:firstLine="43"/>
                    <w:jc w:val="center"/>
                    <w:rPr>
                      <w:sz w:val="16"/>
                      <w:szCs w:val="16"/>
                    </w:rPr>
                  </w:pPr>
                  <w:r w:rsidRPr="00FD0918">
                    <w:rPr>
                      <w:sz w:val="16"/>
                      <w:szCs w:val="16"/>
                    </w:rPr>
                    <w:t>20%</w:t>
                  </w:r>
                </w:p>
              </w:tc>
              <w:tc>
                <w:tcPr>
                  <w:tcW w:w="992" w:type="dxa"/>
                  <w:vAlign w:val="center"/>
                </w:tcPr>
                <w:p w14:paraId="5AA75A9A" w14:textId="77777777" w:rsidR="00DA225C" w:rsidRPr="00FD0918" w:rsidRDefault="00DA225C" w:rsidP="00DA225C">
                  <w:pPr>
                    <w:keepLines/>
                    <w:widowControl w:val="0"/>
                    <w:ind w:firstLine="43"/>
                    <w:jc w:val="center"/>
                    <w:rPr>
                      <w:sz w:val="16"/>
                      <w:szCs w:val="16"/>
                    </w:rPr>
                  </w:pPr>
                  <w:r w:rsidRPr="00FD0918">
                    <w:rPr>
                      <w:sz w:val="16"/>
                      <w:szCs w:val="16"/>
                    </w:rPr>
                    <w:t>Не застосовується</w:t>
                  </w:r>
                </w:p>
              </w:tc>
            </w:tr>
            <w:tr w:rsidR="00DA225C" w:rsidRPr="00FD0918" w14:paraId="7D5F9591" w14:textId="77777777" w:rsidTr="000C425A">
              <w:tc>
                <w:tcPr>
                  <w:tcW w:w="319" w:type="dxa"/>
                  <w:vAlign w:val="center"/>
                </w:tcPr>
                <w:p w14:paraId="2C57BE0A" w14:textId="77777777" w:rsidR="00DA225C" w:rsidRPr="00F46AE8" w:rsidRDefault="00DA225C" w:rsidP="00DA225C">
                  <w:pPr>
                    <w:keepLines/>
                    <w:widowControl w:val="0"/>
                    <w:jc w:val="center"/>
                    <w:rPr>
                      <w:sz w:val="16"/>
                      <w:szCs w:val="16"/>
                    </w:rPr>
                  </w:pPr>
                  <w:r w:rsidRPr="00F46AE8">
                    <w:rPr>
                      <w:sz w:val="16"/>
                      <w:szCs w:val="16"/>
                    </w:rPr>
                    <w:t>21</w:t>
                  </w:r>
                </w:p>
              </w:tc>
              <w:tc>
                <w:tcPr>
                  <w:tcW w:w="2410" w:type="dxa"/>
                  <w:vAlign w:val="center"/>
                </w:tcPr>
                <w:p w14:paraId="3D224F70" w14:textId="77777777" w:rsidR="00DA225C" w:rsidRPr="00FD0918" w:rsidRDefault="00DA225C" w:rsidP="00DA225C">
                  <w:pPr>
                    <w:keepLines/>
                    <w:widowControl w:val="0"/>
                    <w:tabs>
                      <w:tab w:val="left" w:pos="1134"/>
                    </w:tabs>
                    <w:rPr>
                      <w:sz w:val="16"/>
                      <w:szCs w:val="16"/>
                    </w:rPr>
                  </w:pPr>
                  <w:r w:rsidRPr="00FD0918">
                    <w:rPr>
                      <w:sz w:val="16"/>
                      <w:szCs w:val="16"/>
                    </w:rPr>
                    <w:t>Готівка в касі</w:t>
                  </w:r>
                </w:p>
              </w:tc>
              <w:tc>
                <w:tcPr>
                  <w:tcW w:w="1985" w:type="dxa"/>
                  <w:gridSpan w:val="2"/>
                  <w:vAlign w:val="center"/>
                </w:tcPr>
                <w:p w14:paraId="684E524D" w14:textId="77777777" w:rsidR="00DA225C" w:rsidRPr="00FD0918" w:rsidRDefault="00DA225C" w:rsidP="00DA225C">
                  <w:pPr>
                    <w:keepLines/>
                    <w:widowControl w:val="0"/>
                    <w:ind w:firstLine="43"/>
                    <w:jc w:val="center"/>
                    <w:rPr>
                      <w:sz w:val="16"/>
                      <w:szCs w:val="16"/>
                    </w:rPr>
                  </w:pPr>
                  <w:r w:rsidRPr="00FD0918">
                    <w:rPr>
                      <w:sz w:val="16"/>
                      <w:szCs w:val="16"/>
                    </w:rPr>
                    <w:t>3%</w:t>
                  </w:r>
                </w:p>
              </w:tc>
              <w:tc>
                <w:tcPr>
                  <w:tcW w:w="1984" w:type="dxa"/>
                  <w:gridSpan w:val="2"/>
                  <w:vAlign w:val="center"/>
                </w:tcPr>
                <w:p w14:paraId="1FB85347" w14:textId="77777777" w:rsidR="00DA225C" w:rsidRPr="00FD0918" w:rsidRDefault="00DA225C" w:rsidP="00DA225C">
                  <w:pPr>
                    <w:keepLines/>
                    <w:widowControl w:val="0"/>
                    <w:ind w:firstLine="43"/>
                    <w:jc w:val="center"/>
                    <w:rPr>
                      <w:sz w:val="16"/>
                      <w:szCs w:val="16"/>
                    </w:rPr>
                  </w:pPr>
                  <w:r w:rsidRPr="00FD0918">
                    <w:rPr>
                      <w:sz w:val="16"/>
                      <w:szCs w:val="16"/>
                    </w:rPr>
                    <w:t>3%</w:t>
                  </w:r>
                </w:p>
              </w:tc>
            </w:tr>
            <w:tr w:rsidR="00DA225C" w:rsidRPr="00FD0918" w14:paraId="42AE2A0F" w14:textId="77777777" w:rsidTr="000C425A">
              <w:tc>
                <w:tcPr>
                  <w:tcW w:w="319" w:type="dxa"/>
                  <w:vAlign w:val="center"/>
                </w:tcPr>
                <w:p w14:paraId="56F9E684" w14:textId="77777777" w:rsidR="00DA225C" w:rsidRPr="00F46AE8" w:rsidRDefault="00DA225C" w:rsidP="00DA225C">
                  <w:pPr>
                    <w:keepLines/>
                    <w:widowControl w:val="0"/>
                    <w:jc w:val="center"/>
                    <w:rPr>
                      <w:sz w:val="16"/>
                      <w:szCs w:val="16"/>
                    </w:rPr>
                  </w:pPr>
                  <w:r w:rsidRPr="00F46AE8">
                    <w:rPr>
                      <w:sz w:val="16"/>
                      <w:szCs w:val="16"/>
                    </w:rPr>
                    <w:lastRenderedPageBreak/>
                    <w:t>22</w:t>
                  </w:r>
                </w:p>
              </w:tc>
              <w:tc>
                <w:tcPr>
                  <w:tcW w:w="2410" w:type="dxa"/>
                  <w:vAlign w:val="center"/>
                </w:tcPr>
                <w:p w14:paraId="4C0D461F" w14:textId="77777777" w:rsidR="00DA225C" w:rsidRPr="00FD0918" w:rsidRDefault="00DA225C" w:rsidP="00DA225C">
                  <w:pPr>
                    <w:keepLines/>
                    <w:widowControl w:val="0"/>
                    <w:tabs>
                      <w:tab w:val="left" w:pos="1134"/>
                    </w:tabs>
                    <w:rPr>
                      <w:sz w:val="16"/>
                      <w:szCs w:val="16"/>
                    </w:rPr>
                  </w:pPr>
                  <w:r w:rsidRPr="009C7149">
                    <w:rPr>
                      <w:b/>
                      <w:strike/>
                      <w:sz w:val="16"/>
                      <w:szCs w:val="16"/>
                    </w:rPr>
                    <w:t>Залишки коштів у</w:t>
                  </w:r>
                  <w:r w:rsidRPr="00FD0918">
                    <w:rPr>
                      <w:sz w:val="16"/>
                      <w:szCs w:val="16"/>
                    </w:rPr>
                    <w:t xml:space="preserve"> централізованих страхових резервних </w:t>
                  </w:r>
                  <w:r w:rsidRPr="009C7149">
                    <w:rPr>
                      <w:b/>
                      <w:strike/>
                      <w:sz w:val="16"/>
                      <w:szCs w:val="16"/>
                    </w:rPr>
                    <w:t>фондах, що сплачені страховиками до централізованих страхових резервних</w:t>
                  </w:r>
                  <w:r w:rsidRPr="00FD0918">
                    <w:rPr>
                      <w:sz w:val="16"/>
                      <w:szCs w:val="16"/>
                    </w:rPr>
                    <w:t xml:space="preserve"> фондів </w:t>
                  </w:r>
                  <w:r w:rsidRPr="009A3FE2">
                    <w:rPr>
                      <w:b/>
                      <w:strike/>
                      <w:sz w:val="16"/>
                      <w:szCs w:val="16"/>
                    </w:rPr>
                    <w:t>Моторного (транспортного) страхового бюро України</w:t>
                  </w:r>
                  <w:r w:rsidRPr="00FD0918">
                    <w:rPr>
                      <w:sz w:val="16"/>
                      <w:szCs w:val="16"/>
                    </w:rPr>
                    <w:t xml:space="preserve"> відповідно до Закону про обов’язкове страхування</w:t>
                  </w:r>
                </w:p>
              </w:tc>
              <w:tc>
                <w:tcPr>
                  <w:tcW w:w="992" w:type="dxa"/>
                  <w:vAlign w:val="center"/>
                </w:tcPr>
                <w:p w14:paraId="3447E9E1" w14:textId="77777777" w:rsidR="00DA225C" w:rsidRPr="00FD0918" w:rsidRDefault="00DA225C" w:rsidP="00DA225C">
                  <w:pPr>
                    <w:keepLines/>
                    <w:widowControl w:val="0"/>
                    <w:ind w:firstLine="43"/>
                    <w:jc w:val="center"/>
                    <w:rPr>
                      <w:sz w:val="16"/>
                      <w:szCs w:val="16"/>
                    </w:rPr>
                  </w:pPr>
                  <w:r w:rsidRPr="00FD0918">
                    <w:rPr>
                      <w:sz w:val="16"/>
                      <w:szCs w:val="16"/>
                    </w:rPr>
                    <w:t xml:space="preserve">Не </w:t>
                  </w:r>
                  <w:proofErr w:type="spellStart"/>
                  <w:r w:rsidRPr="00FD0918">
                    <w:rPr>
                      <w:sz w:val="16"/>
                      <w:szCs w:val="16"/>
                    </w:rPr>
                    <w:t>застосо-вується</w:t>
                  </w:r>
                  <w:proofErr w:type="spellEnd"/>
                </w:p>
              </w:tc>
              <w:tc>
                <w:tcPr>
                  <w:tcW w:w="993" w:type="dxa"/>
                  <w:vAlign w:val="center"/>
                </w:tcPr>
                <w:p w14:paraId="45E435AE" w14:textId="77777777" w:rsidR="00DA225C" w:rsidRPr="00FD0918" w:rsidRDefault="00DA225C" w:rsidP="00DA225C">
                  <w:pPr>
                    <w:keepLines/>
                    <w:widowControl w:val="0"/>
                    <w:ind w:firstLine="43"/>
                    <w:jc w:val="center"/>
                    <w:rPr>
                      <w:sz w:val="16"/>
                      <w:szCs w:val="16"/>
                    </w:rPr>
                  </w:pPr>
                  <w:r w:rsidRPr="00FD0918">
                    <w:rPr>
                      <w:sz w:val="16"/>
                      <w:szCs w:val="16"/>
                    </w:rPr>
                    <w:t>У повному обсязі</w:t>
                  </w:r>
                </w:p>
              </w:tc>
              <w:tc>
                <w:tcPr>
                  <w:tcW w:w="992" w:type="dxa"/>
                  <w:vAlign w:val="center"/>
                </w:tcPr>
                <w:p w14:paraId="5EEC1EFD" w14:textId="77777777" w:rsidR="00DA225C" w:rsidRPr="00FD0918" w:rsidRDefault="00DA225C" w:rsidP="00DA225C">
                  <w:pPr>
                    <w:keepLines/>
                    <w:widowControl w:val="0"/>
                    <w:ind w:firstLine="43"/>
                    <w:jc w:val="center"/>
                    <w:rPr>
                      <w:sz w:val="16"/>
                      <w:szCs w:val="16"/>
                    </w:rPr>
                  </w:pPr>
                  <w:r w:rsidRPr="00FD0918">
                    <w:rPr>
                      <w:sz w:val="16"/>
                      <w:szCs w:val="16"/>
                    </w:rPr>
                    <w:t xml:space="preserve">Не </w:t>
                  </w:r>
                  <w:proofErr w:type="spellStart"/>
                  <w:r w:rsidRPr="00FD0918">
                    <w:rPr>
                      <w:sz w:val="16"/>
                      <w:szCs w:val="16"/>
                    </w:rPr>
                    <w:t>застосо-вується</w:t>
                  </w:r>
                  <w:proofErr w:type="spellEnd"/>
                </w:p>
              </w:tc>
              <w:tc>
                <w:tcPr>
                  <w:tcW w:w="992" w:type="dxa"/>
                  <w:vAlign w:val="center"/>
                </w:tcPr>
                <w:p w14:paraId="236DB464" w14:textId="77777777" w:rsidR="00DA225C" w:rsidRPr="00FD0918" w:rsidRDefault="00DA225C" w:rsidP="00DA225C">
                  <w:pPr>
                    <w:keepLines/>
                    <w:widowControl w:val="0"/>
                    <w:ind w:firstLine="43"/>
                    <w:jc w:val="center"/>
                    <w:rPr>
                      <w:sz w:val="16"/>
                      <w:szCs w:val="16"/>
                    </w:rPr>
                  </w:pPr>
                  <w:r w:rsidRPr="00FD0918">
                    <w:rPr>
                      <w:sz w:val="16"/>
                      <w:szCs w:val="16"/>
                    </w:rPr>
                    <w:t>У повному обсязі</w:t>
                  </w:r>
                </w:p>
              </w:tc>
            </w:tr>
            <w:tr w:rsidR="00DA225C" w:rsidRPr="00FD0918" w14:paraId="31BA11E0" w14:textId="77777777" w:rsidTr="000C425A">
              <w:tc>
                <w:tcPr>
                  <w:tcW w:w="319" w:type="dxa"/>
                  <w:vAlign w:val="center"/>
                </w:tcPr>
                <w:p w14:paraId="2E905119" w14:textId="77777777" w:rsidR="00DA225C" w:rsidRPr="00F46AE8" w:rsidRDefault="00DA225C" w:rsidP="00DA225C">
                  <w:pPr>
                    <w:keepLines/>
                    <w:widowControl w:val="0"/>
                    <w:jc w:val="center"/>
                    <w:rPr>
                      <w:sz w:val="16"/>
                      <w:szCs w:val="16"/>
                    </w:rPr>
                  </w:pPr>
                  <w:r w:rsidRPr="00F46AE8">
                    <w:rPr>
                      <w:sz w:val="16"/>
                      <w:szCs w:val="16"/>
                    </w:rPr>
                    <w:t>23</w:t>
                  </w:r>
                </w:p>
              </w:tc>
              <w:tc>
                <w:tcPr>
                  <w:tcW w:w="2410" w:type="dxa"/>
                  <w:vAlign w:val="center"/>
                </w:tcPr>
                <w:p w14:paraId="71840924" w14:textId="77777777" w:rsidR="00DA225C" w:rsidRPr="00FD0918" w:rsidRDefault="00DA225C" w:rsidP="00DA225C">
                  <w:pPr>
                    <w:keepLines/>
                    <w:widowControl w:val="0"/>
                    <w:tabs>
                      <w:tab w:val="left" w:pos="1134"/>
                    </w:tabs>
                    <w:rPr>
                      <w:sz w:val="16"/>
                      <w:szCs w:val="16"/>
                    </w:rPr>
                  </w:pPr>
                  <w:r w:rsidRPr="00FD0918">
                    <w:rPr>
                      <w:sz w:val="16"/>
                      <w:szCs w:val="16"/>
                    </w:rPr>
                    <w:t>Непрострочена дебіторська заборгованість</w:t>
                  </w:r>
                </w:p>
              </w:tc>
              <w:tc>
                <w:tcPr>
                  <w:tcW w:w="1985" w:type="dxa"/>
                  <w:gridSpan w:val="2"/>
                  <w:vAlign w:val="center"/>
                </w:tcPr>
                <w:p w14:paraId="715F9AD8" w14:textId="77777777" w:rsidR="00DA225C" w:rsidRPr="00FD0918" w:rsidRDefault="00DA225C" w:rsidP="00DA225C">
                  <w:pPr>
                    <w:keepLines/>
                    <w:widowControl w:val="0"/>
                    <w:ind w:firstLine="43"/>
                    <w:jc w:val="center"/>
                    <w:rPr>
                      <w:sz w:val="16"/>
                      <w:szCs w:val="16"/>
                    </w:rPr>
                  </w:pPr>
                  <w:r w:rsidRPr="00FD0918">
                    <w:rPr>
                      <w:sz w:val="16"/>
                      <w:szCs w:val="16"/>
                    </w:rPr>
                    <w:t>У повному обсязі</w:t>
                  </w:r>
                </w:p>
              </w:tc>
              <w:tc>
                <w:tcPr>
                  <w:tcW w:w="1984" w:type="dxa"/>
                  <w:gridSpan w:val="2"/>
                  <w:vAlign w:val="center"/>
                </w:tcPr>
                <w:p w14:paraId="7BC4388A" w14:textId="77777777" w:rsidR="00DA225C" w:rsidRPr="00FD0918" w:rsidRDefault="00DA225C" w:rsidP="00DA225C">
                  <w:pPr>
                    <w:keepLines/>
                    <w:widowControl w:val="0"/>
                    <w:ind w:firstLine="43"/>
                    <w:jc w:val="center"/>
                    <w:rPr>
                      <w:sz w:val="16"/>
                      <w:szCs w:val="16"/>
                    </w:rPr>
                  </w:pPr>
                  <w:r w:rsidRPr="00FD0918">
                    <w:rPr>
                      <w:sz w:val="16"/>
                      <w:szCs w:val="16"/>
                    </w:rPr>
                    <w:t>0%</w:t>
                  </w:r>
                </w:p>
              </w:tc>
            </w:tr>
            <w:tr w:rsidR="00DA225C" w:rsidRPr="00FD0918" w14:paraId="3BD6F174" w14:textId="77777777" w:rsidTr="000C425A">
              <w:tc>
                <w:tcPr>
                  <w:tcW w:w="319" w:type="dxa"/>
                  <w:tcBorders>
                    <w:bottom w:val="single" w:sz="4" w:space="0" w:color="auto"/>
                  </w:tcBorders>
                  <w:vAlign w:val="center"/>
                </w:tcPr>
                <w:p w14:paraId="4A4C8F13" w14:textId="77777777" w:rsidR="00DA225C" w:rsidRPr="00F46AE8" w:rsidRDefault="00DA225C" w:rsidP="00DA225C">
                  <w:pPr>
                    <w:keepLines/>
                    <w:widowControl w:val="0"/>
                    <w:jc w:val="center"/>
                    <w:rPr>
                      <w:sz w:val="16"/>
                      <w:szCs w:val="16"/>
                    </w:rPr>
                  </w:pPr>
                  <w:r w:rsidRPr="00F46AE8">
                    <w:rPr>
                      <w:sz w:val="16"/>
                      <w:szCs w:val="16"/>
                    </w:rPr>
                    <w:t>24</w:t>
                  </w:r>
                </w:p>
              </w:tc>
              <w:tc>
                <w:tcPr>
                  <w:tcW w:w="2410" w:type="dxa"/>
                  <w:tcBorders>
                    <w:bottom w:val="single" w:sz="4" w:space="0" w:color="auto"/>
                  </w:tcBorders>
                  <w:vAlign w:val="center"/>
                </w:tcPr>
                <w:p w14:paraId="7619976D" w14:textId="77777777" w:rsidR="00DA225C" w:rsidRPr="00FD0918" w:rsidRDefault="00DA225C" w:rsidP="00DA225C">
                  <w:pPr>
                    <w:keepLines/>
                    <w:widowControl w:val="0"/>
                    <w:tabs>
                      <w:tab w:val="left" w:pos="1134"/>
                    </w:tabs>
                    <w:rPr>
                      <w:sz w:val="16"/>
                      <w:szCs w:val="16"/>
                    </w:rPr>
                  </w:pPr>
                  <w:r w:rsidRPr="00FD0918">
                    <w:rPr>
                      <w:sz w:val="16"/>
                      <w:szCs w:val="16"/>
                    </w:rPr>
                    <w:t>Активи з права користування відповідно до Міжнародного стандарту фінансової звітності 16 “Оренда”</w:t>
                  </w:r>
                </w:p>
              </w:tc>
              <w:tc>
                <w:tcPr>
                  <w:tcW w:w="1985" w:type="dxa"/>
                  <w:gridSpan w:val="2"/>
                  <w:tcBorders>
                    <w:bottom w:val="single" w:sz="4" w:space="0" w:color="auto"/>
                  </w:tcBorders>
                  <w:vAlign w:val="center"/>
                </w:tcPr>
                <w:p w14:paraId="4ED33465" w14:textId="77777777" w:rsidR="00DA225C" w:rsidRPr="00FD0918" w:rsidRDefault="00DA225C" w:rsidP="00DA225C">
                  <w:pPr>
                    <w:keepLines/>
                    <w:widowControl w:val="0"/>
                    <w:ind w:firstLine="43"/>
                    <w:jc w:val="center"/>
                    <w:rPr>
                      <w:sz w:val="16"/>
                      <w:szCs w:val="16"/>
                    </w:rPr>
                  </w:pPr>
                  <w:r w:rsidRPr="00FD0918">
                    <w:rPr>
                      <w:sz w:val="16"/>
                      <w:szCs w:val="16"/>
                    </w:rPr>
                    <w:t>У повному обсязі</w:t>
                  </w:r>
                </w:p>
              </w:tc>
              <w:tc>
                <w:tcPr>
                  <w:tcW w:w="1984" w:type="dxa"/>
                  <w:gridSpan w:val="2"/>
                  <w:tcBorders>
                    <w:bottom w:val="single" w:sz="4" w:space="0" w:color="auto"/>
                  </w:tcBorders>
                  <w:vAlign w:val="center"/>
                </w:tcPr>
                <w:p w14:paraId="178DF404" w14:textId="77777777" w:rsidR="00DA225C" w:rsidRPr="00FD0918" w:rsidRDefault="00DA225C" w:rsidP="00DA225C">
                  <w:pPr>
                    <w:keepLines/>
                    <w:widowControl w:val="0"/>
                    <w:ind w:firstLine="43"/>
                    <w:jc w:val="center"/>
                    <w:rPr>
                      <w:sz w:val="16"/>
                      <w:szCs w:val="16"/>
                    </w:rPr>
                  </w:pPr>
                  <w:r w:rsidRPr="00FD0918">
                    <w:rPr>
                      <w:sz w:val="16"/>
                      <w:szCs w:val="16"/>
                    </w:rPr>
                    <w:t>0%</w:t>
                  </w:r>
                </w:p>
              </w:tc>
            </w:tr>
          </w:tbl>
          <w:p w14:paraId="21264C4D" w14:textId="77777777" w:rsidR="00DA225C" w:rsidRPr="00B73144" w:rsidRDefault="00DA225C" w:rsidP="00DA225C">
            <w:pPr>
              <w:pStyle w:val="rvps2"/>
              <w:shd w:val="clear" w:color="auto" w:fill="FFFFFF"/>
              <w:spacing w:before="0" w:beforeAutospacing="0" w:after="0" w:afterAutospacing="0"/>
              <w:ind w:firstLine="448"/>
              <w:jc w:val="both"/>
              <w:rPr>
                <w:color w:val="000000" w:themeColor="text1"/>
                <w:sz w:val="28"/>
                <w:szCs w:val="28"/>
              </w:rPr>
            </w:pPr>
          </w:p>
        </w:tc>
        <w:tc>
          <w:tcPr>
            <w:tcW w:w="6875" w:type="dxa"/>
          </w:tcPr>
          <w:tbl>
            <w:tblPr>
              <w:tblStyle w:val="a3"/>
              <w:tblW w:w="6713" w:type="dxa"/>
              <w:tblBorders>
                <w:bottom w:val="none" w:sz="0" w:space="0" w:color="auto"/>
              </w:tblBorders>
              <w:tblLayout w:type="fixed"/>
              <w:tblCellMar>
                <w:left w:w="57" w:type="dxa"/>
                <w:right w:w="57" w:type="dxa"/>
              </w:tblCellMar>
              <w:tblLook w:val="04A0" w:firstRow="1" w:lastRow="0" w:firstColumn="1" w:lastColumn="0" w:noHBand="0" w:noVBand="1"/>
            </w:tblPr>
            <w:tblGrid>
              <w:gridCol w:w="319"/>
              <w:gridCol w:w="2410"/>
              <w:gridCol w:w="992"/>
              <w:gridCol w:w="992"/>
              <w:gridCol w:w="993"/>
              <w:gridCol w:w="992"/>
              <w:gridCol w:w="15"/>
            </w:tblGrid>
            <w:tr w:rsidR="00DA225C" w:rsidRPr="00FD0918" w14:paraId="0C2A9745" w14:textId="77777777" w:rsidTr="00FC7A3F">
              <w:trPr>
                <w:trHeight w:val="322"/>
              </w:trPr>
              <w:tc>
                <w:tcPr>
                  <w:tcW w:w="319" w:type="dxa"/>
                  <w:vMerge w:val="restart"/>
                  <w:vAlign w:val="center"/>
                </w:tcPr>
                <w:p w14:paraId="71786F70" w14:textId="77777777" w:rsidR="00DA225C" w:rsidRPr="00FD0918" w:rsidRDefault="00DA225C" w:rsidP="00DA225C">
                  <w:pPr>
                    <w:widowControl w:val="0"/>
                    <w:jc w:val="center"/>
                    <w:rPr>
                      <w:sz w:val="16"/>
                      <w:szCs w:val="16"/>
                    </w:rPr>
                  </w:pPr>
                  <w:r w:rsidRPr="00FD0918">
                    <w:rPr>
                      <w:sz w:val="16"/>
                      <w:szCs w:val="16"/>
                    </w:rPr>
                    <w:lastRenderedPageBreak/>
                    <w:t>№ з/п</w:t>
                  </w:r>
                </w:p>
              </w:tc>
              <w:tc>
                <w:tcPr>
                  <w:tcW w:w="2410" w:type="dxa"/>
                  <w:vMerge w:val="restart"/>
                  <w:vAlign w:val="center"/>
                </w:tcPr>
                <w:p w14:paraId="34580197" w14:textId="77777777" w:rsidR="00DA225C" w:rsidRPr="00FD0918" w:rsidRDefault="00DA225C" w:rsidP="00DA225C">
                  <w:pPr>
                    <w:widowControl w:val="0"/>
                    <w:jc w:val="center"/>
                    <w:rPr>
                      <w:sz w:val="16"/>
                      <w:szCs w:val="16"/>
                    </w:rPr>
                  </w:pPr>
                  <w:r w:rsidRPr="00FD0918">
                    <w:rPr>
                      <w:sz w:val="16"/>
                      <w:szCs w:val="16"/>
                    </w:rPr>
                    <w:t xml:space="preserve">Актив, визначений відповідно до глави 6 розділу ІІ </w:t>
                  </w:r>
                  <w:r w:rsidRPr="00FD0918">
                    <w:rPr>
                      <w:rFonts w:eastAsiaTheme="majorEastAsia" w:cstheme="majorBidi"/>
                      <w:sz w:val="16"/>
                      <w:szCs w:val="16"/>
                    </w:rPr>
                    <w:t xml:space="preserve">Положення </w:t>
                  </w:r>
                  <w:r w:rsidRPr="00FD0918">
                    <w:rPr>
                      <w:rFonts w:eastAsia="SimSun"/>
                      <w:sz w:val="16"/>
                      <w:szCs w:val="16"/>
                    </w:rPr>
                    <w:t>про встановлення вимог щодо забезпечення платоспроможності та інвестиційної діяльності страховика (далі – Положення)</w:t>
                  </w:r>
                </w:p>
              </w:tc>
              <w:tc>
                <w:tcPr>
                  <w:tcW w:w="3984" w:type="dxa"/>
                  <w:gridSpan w:val="5"/>
                  <w:vAlign w:val="center"/>
                </w:tcPr>
                <w:p w14:paraId="2F41D8E5" w14:textId="77777777" w:rsidR="00DA225C" w:rsidRPr="00FD0918" w:rsidRDefault="00DA225C" w:rsidP="00DA225C">
                  <w:pPr>
                    <w:widowControl w:val="0"/>
                    <w:jc w:val="center"/>
                    <w:rPr>
                      <w:sz w:val="16"/>
                      <w:szCs w:val="16"/>
                    </w:rPr>
                  </w:pPr>
                  <w:r w:rsidRPr="00FD0918">
                    <w:rPr>
                      <w:sz w:val="16"/>
                      <w:szCs w:val="16"/>
                    </w:rPr>
                    <w:t xml:space="preserve">Максимальний обсяг активу для включення до прийнятних активів </w:t>
                  </w:r>
                </w:p>
              </w:tc>
            </w:tr>
            <w:tr w:rsidR="00DA225C" w:rsidRPr="00FD0918" w14:paraId="6147BB19" w14:textId="77777777" w:rsidTr="00FC7A3F">
              <w:trPr>
                <w:gridAfter w:val="1"/>
                <w:wAfter w:w="15" w:type="dxa"/>
                <w:trHeight w:val="322"/>
              </w:trPr>
              <w:tc>
                <w:tcPr>
                  <w:tcW w:w="319" w:type="dxa"/>
                  <w:vMerge/>
                  <w:vAlign w:val="center"/>
                </w:tcPr>
                <w:p w14:paraId="58F9EFE2" w14:textId="77777777" w:rsidR="00DA225C" w:rsidRPr="00FD0918" w:rsidRDefault="00DA225C" w:rsidP="00DA225C">
                  <w:pPr>
                    <w:widowControl w:val="0"/>
                    <w:jc w:val="center"/>
                    <w:rPr>
                      <w:sz w:val="16"/>
                      <w:szCs w:val="16"/>
                    </w:rPr>
                  </w:pPr>
                </w:p>
              </w:tc>
              <w:tc>
                <w:tcPr>
                  <w:tcW w:w="2410" w:type="dxa"/>
                  <w:vMerge/>
                  <w:vAlign w:val="center"/>
                </w:tcPr>
                <w:p w14:paraId="07748553" w14:textId="77777777" w:rsidR="00DA225C" w:rsidRPr="00FD0918" w:rsidRDefault="00DA225C" w:rsidP="00DA225C">
                  <w:pPr>
                    <w:widowControl w:val="0"/>
                    <w:jc w:val="center"/>
                    <w:rPr>
                      <w:sz w:val="16"/>
                      <w:szCs w:val="16"/>
                    </w:rPr>
                  </w:pPr>
                </w:p>
              </w:tc>
              <w:tc>
                <w:tcPr>
                  <w:tcW w:w="1984" w:type="dxa"/>
                  <w:gridSpan w:val="2"/>
                  <w:vAlign w:val="center"/>
                </w:tcPr>
                <w:p w14:paraId="1C2B7AED" w14:textId="77777777" w:rsidR="00DA225C" w:rsidRPr="00FD0918" w:rsidRDefault="00DA225C" w:rsidP="00DA225C">
                  <w:pPr>
                    <w:widowControl w:val="0"/>
                    <w:jc w:val="center"/>
                    <w:rPr>
                      <w:sz w:val="16"/>
                      <w:szCs w:val="16"/>
                    </w:rPr>
                  </w:pPr>
                  <w:r w:rsidRPr="00FD0918">
                    <w:rPr>
                      <w:sz w:val="16"/>
                      <w:szCs w:val="16"/>
                    </w:rPr>
                    <w:t xml:space="preserve">для розрахунку регулятивного капіталу [у відсотках від </w:t>
                  </w:r>
                  <w:r w:rsidRPr="00FD0918">
                    <w:rPr>
                      <w:rFonts w:eastAsiaTheme="majorEastAsia" w:cstheme="majorBidi"/>
                      <w:sz w:val="16"/>
                      <w:szCs w:val="16"/>
                    </w:rPr>
                    <w:t>суми капіталу платоспроможності, що визначається відповідно до Положення</w:t>
                  </w:r>
                  <w:r w:rsidRPr="00FD0918">
                    <w:rPr>
                      <w:sz w:val="16"/>
                      <w:szCs w:val="16"/>
                    </w:rPr>
                    <w:t xml:space="preserve">, </w:t>
                  </w:r>
                  <w:r w:rsidRPr="00FD0918">
                    <w:rPr>
                      <w:rFonts w:eastAsiaTheme="majorEastAsia" w:cstheme="majorBidi"/>
                      <w:sz w:val="16"/>
                      <w:szCs w:val="16"/>
                    </w:rPr>
                    <w:t>та суми зобов’язань страховика, визначеної відповідно до підпункту 2 пункту 20 глави 4 розділу ІІ Положення]</w:t>
                  </w:r>
                </w:p>
              </w:tc>
              <w:tc>
                <w:tcPr>
                  <w:tcW w:w="1985" w:type="dxa"/>
                  <w:gridSpan w:val="2"/>
                  <w:vAlign w:val="center"/>
                </w:tcPr>
                <w:p w14:paraId="4B178B4C" w14:textId="77777777" w:rsidR="00DA225C" w:rsidRPr="00FD0918" w:rsidRDefault="00DA225C" w:rsidP="00DA225C">
                  <w:pPr>
                    <w:widowControl w:val="0"/>
                    <w:jc w:val="center"/>
                    <w:rPr>
                      <w:sz w:val="16"/>
                      <w:szCs w:val="16"/>
                    </w:rPr>
                  </w:pPr>
                  <w:r w:rsidRPr="00FD0918">
                    <w:rPr>
                      <w:sz w:val="16"/>
                      <w:szCs w:val="16"/>
                    </w:rPr>
                    <w:t xml:space="preserve">на покриття технічних резервів </w:t>
                  </w:r>
                  <w:r w:rsidRPr="00FD0918">
                    <w:rPr>
                      <w:sz w:val="16"/>
                      <w:szCs w:val="16"/>
                      <w:lang w:eastAsia="en-US"/>
                    </w:rPr>
                    <w:t xml:space="preserve">за договорами прямого </w:t>
                  </w:r>
                  <w:r w:rsidRPr="00FD0918">
                    <w:rPr>
                      <w:sz w:val="16"/>
                      <w:szCs w:val="16"/>
                    </w:rPr>
                    <w:t>страхування та договорами вхідного перестрахування (далі – технічні резерви) (у відсотках від технічних резервів)</w:t>
                  </w:r>
                </w:p>
              </w:tc>
            </w:tr>
            <w:tr w:rsidR="00DA225C" w:rsidRPr="00FD0918" w14:paraId="556002B0" w14:textId="77777777" w:rsidTr="00FC7A3F">
              <w:trPr>
                <w:gridAfter w:val="1"/>
                <w:wAfter w:w="15" w:type="dxa"/>
                <w:trHeight w:val="322"/>
              </w:trPr>
              <w:tc>
                <w:tcPr>
                  <w:tcW w:w="319" w:type="dxa"/>
                  <w:vMerge/>
                  <w:vAlign w:val="center"/>
                </w:tcPr>
                <w:p w14:paraId="17E19BC8" w14:textId="77777777" w:rsidR="00DA225C" w:rsidRPr="00FD0918" w:rsidRDefault="00DA225C" w:rsidP="00DA225C">
                  <w:pPr>
                    <w:widowControl w:val="0"/>
                    <w:jc w:val="center"/>
                    <w:rPr>
                      <w:sz w:val="16"/>
                      <w:szCs w:val="16"/>
                    </w:rPr>
                  </w:pPr>
                </w:p>
              </w:tc>
              <w:tc>
                <w:tcPr>
                  <w:tcW w:w="2410" w:type="dxa"/>
                  <w:vMerge/>
                  <w:vAlign w:val="center"/>
                </w:tcPr>
                <w:p w14:paraId="4521F823" w14:textId="77777777" w:rsidR="00DA225C" w:rsidRPr="00FD0918" w:rsidRDefault="00DA225C" w:rsidP="00DA225C">
                  <w:pPr>
                    <w:widowControl w:val="0"/>
                    <w:jc w:val="center"/>
                    <w:rPr>
                      <w:sz w:val="16"/>
                      <w:szCs w:val="16"/>
                    </w:rPr>
                  </w:pPr>
                </w:p>
              </w:tc>
              <w:tc>
                <w:tcPr>
                  <w:tcW w:w="992" w:type="dxa"/>
                  <w:vAlign w:val="center"/>
                </w:tcPr>
                <w:p w14:paraId="43391E32" w14:textId="77777777" w:rsidR="00DA225C" w:rsidRPr="00FD0918" w:rsidRDefault="00DA225C" w:rsidP="00DA225C">
                  <w:pPr>
                    <w:widowControl w:val="0"/>
                    <w:jc w:val="center"/>
                    <w:rPr>
                      <w:sz w:val="16"/>
                      <w:szCs w:val="16"/>
                    </w:rPr>
                  </w:pPr>
                  <w:r w:rsidRPr="00FD0918">
                    <w:rPr>
                      <w:sz w:val="16"/>
                      <w:szCs w:val="16"/>
                    </w:rPr>
                    <w:t>за класами страхування життя</w:t>
                  </w:r>
                </w:p>
              </w:tc>
              <w:tc>
                <w:tcPr>
                  <w:tcW w:w="992" w:type="dxa"/>
                </w:tcPr>
                <w:p w14:paraId="014848F2" w14:textId="77777777" w:rsidR="00DA225C" w:rsidRPr="00FD0918" w:rsidRDefault="00DA225C" w:rsidP="00DA225C">
                  <w:pPr>
                    <w:widowControl w:val="0"/>
                    <w:jc w:val="center"/>
                    <w:rPr>
                      <w:sz w:val="16"/>
                      <w:szCs w:val="16"/>
                    </w:rPr>
                  </w:pPr>
                  <w:r w:rsidRPr="00FD0918">
                    <w:rPr>
                      <w:sz w:val="16"/>
                      <w:szCs w:val="16"/>
                    </w:rPr>
                    <w:t>за класами страхування іншого, ніж страхування життя</w:t>
                  </w:r>
                </w:p>
              </w:tc>
              <w:tc>
                <w:tcPr>
                  <w:tcW w:w="993" w:type="dxa"/>
                  <w:vAlign w:val="center"/>
                </w:tcPr>
                <w:p w14:paraId="4D232B27" w14:textId="77777777" w:rsidR="00DA225C" w:rsidRPr="00FD0918" w:rsidRDefault="00DA225C" w:rsidP="00DA225C">
                  <w:pPr>
                    <w:widowControl w:val="0"/>
                    <w:jc w:val="center"/>
                    <w:rPr>
                      <w:sz w:val="16"/>
                      <w:szCs w:val="16"/>
                    </w:rPr>
                  </w:pPr>
                  <w:r w:rsidRPr="00FD0918">
                    <w:rPr>
                      <w:sz w:val="16"/>
                      <w:szCs w:val="16"/>
                    </w:rPr>
                    <w:t>за класами страхування життя</w:t>
                  </w:r>
                </w:p>
              </w:tc>
              <w:tc>
                <w:tcPr>
                  <w:tcW w:w="992" w:type="dxa"/>
                </w:tcPr>
                <w:p w14:paraId="593B5CB2" w14:textId="77777777" w:rsidR="00DA225C" w:rsidRPr="00FD0918" w:rsidRDefault="00DA225C" w:rsidP="00DA225C">
                  <w:pPr>
                    <w:widowControl w:val="0"/>
                    <w:jc w:val="center"/>
                    <w:rPr>
                      <w:sz w:val="16"/>
                      <w:szCs w:val="16"/>
                    </w:rPr>
                  </w:pPr>
                  <w:r w:rsidRPr="00FD0918">
                    <w:rPr>
                      <w:sz w:val="16"/>
                      <w:szCs w:val="16"/>
                    </w:rPr>
                    <w:t>за класами страхування іншого, ніж страхування життя</w:t>
                  </w:r>
                </w:p>
              </w:tc>
            </w:tr>
          </w:tbl>
          <w:p w14:paraId="5F53F499" w14:textId="77777777" w:rsidR="00DA225C" w:rsidRPr="00A674A8" w:rsidRDefault="00DA225C" w:rsidP="00DA225C">
            <w:pPr>
              <w:pStyle w:val="af0"/>
              <w:tabs>
                <w:tab w:val="left" w:pos="675"/>
                <w:tab w:val="left" w:pos="5636"/>
              </w:tabs>
              <w:ind w:left="113"/>
              <w:jc w:val="left"/>
              <w:rPr>
                <w:sz w:val="2"/>
                <w:szCs w:val="2"/>
              </w:rPr>
            </w:pPr>
          </w:p>
          <w:tbl>
            <w:tblPr>
              <w:tblStyle w:val="a3"/>
              <w:tblW w:w="6698" w:type="dxa"/>
              <w:tblLayout w:type="fixed"/>
              <w:tblCellMar>
                <w:left w:w="57" w:type="dxa"/>
                <w:right w:w="57" w:type="dxa"/>
              </w:tblCellMar>
              <w:tblLook w:val="04A0" w:firstRow="1" w:lastRow="0" w:firstColumn="1" w:lastColumn="0" w:noHBand="0" w:noVBand="1"/>
            </w:tblPr>
            <w:tblGrid>
              <w:gridCol w:w="318"/>
              <w:gridCol w:w="2410"/>
              <w:gridCol w:w="992"/>
              <w:gridCol w:w="993"/>
              <w:gridCol w:w="992"/>
              <w:gridCol w:w="993"/>
            </w:tblGrid>
            <w:tr w:rsidR="00DA225C" w:rsidRPr="00FD0918" w14:paraId="103A03E3" w14:textId="77777777" w:rsidTr="003059A5">
              <w:trPr>
                <w:tblHeader/>
              </w:trPr>
              <w:tc>
                <w:tcPr>
                  <w:tcW w:w="318" w:type="dxa"/>
                  <w:vAlign w:val="center"/>
                </w:tcPr>
                <w:p w14:paraId="32DB898B" w14:textId="77777777" w:rsidR="00DA225C" w:rsidRPr="00FD0918" w:rsidRDefault="00DA225C" w:rsidP="00DA225C">
                  <w:pPr>
                    <w:keepLines/>
                    <w:widowControl w:val="0"/>
                    <w:jc w:val="center"/>
                    <w:rPr>
                      <w:sz w:val="16"/>
                      <w:szCs w:val="16"/>
                    </w:rPr>
                  </w:pPr>
                  <w:r w:rsidRPr="00FD0918">
                    <w:rPr>
                      <w:sz w:val="16"/>
                      <w:szCs w:val="16"/>
                    </w:rPr>
                    <w:t>1</w:t>
                  </w:r>
                </w:p>
              </w:tc>
              <w:tc>
                <w:tcPr>
                  <w:tcW w:w="2410" w:type="dxa"/>
                  <w:vAlign w:val="center"/>
                </w:tcPr>
                <w:p w14:paraId="2B386BEB" w14:textId="77777777" w:rsidR="00DA225C" w:rsidRPr="00FD0918" w:rsidRDefault="00DA225C" w:rsidP="00DA225C">
                  <w:pPr>
                    <w:keepLines/>
                    <w:widowControl w:val="0"/>
                    <w:jc w:val="center"/>
                    <w:rPr>
                      <w:sz w:val="16"/>
                      <w:szCs w:val="16"/>
                    </w:rPr>
                  </w:pPr>
                  <w:r w:rsidRPr="00FD0918">
                    <w:rPr>
                      <w:sz w:val="16"/>
                      <w:szCs w:val="16"/>
                    </w:rPr>
                    <w:t>2</w:t>
                  </w:r>
                </w:p>
              </w:tc>
              <w:tc>
                <w:tcPr>
                  <w:tcW w:w="992" w:type="dxa"/>
                </w:tcPr>
                <w:p w14:paraId="2E90E8B8" w14:textId="77777777" w:rsidR="00DA225C" w:rsidRPr="00FD0918" w:rsidRDefault="00DA225C" w:rsidP="00DA225C">
                  <w:pPr>
                    <w:keepLines/>
                    <w:widowControl w:val="0"/>
                    <w:jc w:val="center"/>
                    <w:rPr>
                      <w:sz w:val="16"/>
                      <w:szCs w:val="16"/>
                    </w:rPr>
                  </w:pPr>
                  <w:r w:rsidRPr="00FD0918">
                    <w:rPr>
                      <w:sz w:val="16"/>
                      <w:szCs w:val="16"/>
                    </w:rPr>
                    <w:t>3</w:t>
                  </w:r>
                </w:p>
              </w:tc>
              <w:tc>
                <w:tcPr>
                  <w:tcW w:w="993" w:type="dxa"/>
                </w:tcPr>
                <w:p w14:paraId="083CA63A" w14:textId="77777777" w:rsidR="00DA225C" w:rsidRPr="00FD0918" w:rsidRDefault="00DA225C" w:rsidP="00DA225C">
                  <w:pPr>
                    <w:keepLines/>
                    <w:widowControl w:val="0"/>
                    <w:jc w:val="center"/>
                    <w:rPr>
                      <w:sz w:val="16"/>
                      <w:szCs w:val="16"/>
                    </w:rPr>
                  </w:pPr>
                  <w:r w:rsidRPr="00FD0918">
                    <w:rPr>
                      <w:sz w:val="16"/>
                      <w:szCs w:val="16"/>
                    </w:rPr>
                    <w:t>4</w:t>
                  </w:r>
                </w:p>
              </w:tc>
              <w:tc>
                <w:tcPr>
                  <w:tcW w:w="992" w:type="dxa"/>
                </w:tcPr>
                <w:p w14:paraId="19C1A835" w14:textId="77777777" w:rsidR="00DA225C" w:rsidRPr="00FD0918" w:rsidRDefault="00DA225C" w:rsidP="00DA225C">
                  <w:pPr>
                    <w:keepLines/>
                    <w:widowControl w:val="0"/>
                    <w:jc w:val="center"/>
                    <w:rPr>
                      <w:sz w:val="16"/>
                      <w:szCs w:val="16"/>
                    </w:rPr>
                  </w:pPr>
                  <w:r w:rsidRPr="00FD0918">
                    <w:rPr>
                      <w:sz w:val="16"/>
                      <w:szCs w:val="16"/>
                    </w:rPr>
                    <w:t>5</w:t>
                  </w:r>
                </w:p>
              </w:tc>
              <w:tc>
                <w:tcPr>
                  <w:tcW w:w="993" w:type="dxa"/>
                </w:tcPr>
                <w:p w14:paraId="355EC861" w14:textId="77777777" w:rsidR="00DA225C" w:rsidRPr="00FD0918" w:rsidRDefault="00DA225C" w:rsidP="00DA225C">
                  <w:pPr>
                    <w:keepLines/>
                    <w:widowControl w:val="0"/>
                    <w:jc w:val="center"/>
                    <w:rPr>
                      <w:sz w:val="16"/>
                      <w:szCs w:val="16"/>
                    </w:rPr>
                  </w:pPr>
                  <w:r w:rsidRPr="00FD0918">
                    <w:rPr>
                      <w:sz w:val="16"/>
                      <w:szCs w:val="16"/>
                    </w:rPr>
                    <w:t>6</w:t>
                  </w:r>
                </w:p>
              </w:tc>
            </w:tr>
            <w:tr w:rsidR="00DA225C" w:rsidRPr="00FD0918" w14:paraId="7879CF80" w14:textId="77777777" w:rsidTr="003059A5">
              <w:tc>
                <w:tcPr>
                  <w:tcW w:w="318" w:type="dxa"/>
                  <w:vAlign w:val="center"/>
                </w:tcPr>
                <w:p w14:paraId="1CB3DC5B" w14:textId="77777777" w:rsidR="00DA225C" w:rsidRPr="00FD0918" w:rsidRDefault="00DA225C" w:rsidP="00DA225C">
                  <w:pPr>
                    <w:keepLines/>
                    <w:widowControl w:val="0"/>
                    <w:jc w:val="center"/>
                    <w:rPr>
                      <w:sz w:val="16"/>
                      <w:szCs w:val="16"/>
                    </w:rPr>
                  </w:pPr>
                  <w:r w:rsidRPr="00FD0918">
                    <w:rPr>
                      <w:sz w:val="16"/>
                      <w:szCs w:val="16"/>
                    </w:rPr>
                    <w:t>1</w:t>
                  </w:r>
                </w:p>
              </w:tc>
              <w:tc>
                <w:tcPr>
                  <w:tcW w:w="2410" w:type="dxa"/>
                  <w:vAlign w:val="center"/>
                </w:tcPr>
                <w:p w14:paraId="3B194E13" w14:textId="77777777" w:rsidR="00DA225C" w:rsidRPr="00FD0918" w:rsidRDefault="00DA225C" w:rsidP="00DA225C">
                  <w:pPr>
                    <w:keepLines/>
                    <w:widowControl w:val="0"/>
                    <w:rPr>
                      <w:sz w:val="16"/>
                      <w:szCs w:val="16"/>
                    </w:rPr>
                  </w:pPr>
                  <w:r w:rsidRPr="00FD0918">
                    <w:rPr>
                      <w:sz w:val="16"/>
                      <w:szCs w:val="16"/>
                    </w:rPr>
                    <w:t>Грошові кошти на поточних рахунках, банківські вклади (депозити) та кошти на рахунках умовного зберігання (</w:t>
                  </w:r>
                  <w:proofErr w:type="spellStart"/>
                  <w:r w:rsidRPr="00FD0918">
                    <w:rPr>
                      <w:sz w:val="16"/>
                      <w:szCs w:val="16"/>
                    </w:rPr>
                    <w:t>ескроу</w:t>
                  </w:r>
                  <w:proofErr w:type="spellEnd"/>
                  <w:r w:rsidRPr="00FD0918">
                    <w:rPr>
                      <w:sz w:val="16"/>
                      <w:szCs w:val="16"/>
                    </w:rPr>
                    <w:t>), дебіторська заборгованість за нарахованими відсотками за такими рахунками та вкладами (депозитами)</w:t>
                  </w:r>
                </w:p>
              </w:tc>
              <w:tc>
                <w:tcPr>
                  <w:tcW w:w="1985" w:type="dxa"/>
                  <w:gridSpan w:val="2"/>
                  <w:vAlign w:val="center"/>
                </w:tcPr>
                <w:p w14:paraId="54D4FF86" w14:textId="77777777" w:rsidR="00DA225C" w:rsidRPr="00FD0918" w:rsidRDefault="00DA225C" w:rsidP="00DA225C">
                  <w:pPr>
                    <w:pStyle w:val="ae"/>
                    <w:keepLines/>
                    <w:widowControl w:val="0"/>
                    <w:tabs>
                      <w:tab w:val="left" w:pos="326"/>
                    </w:tabs>
                    <w:ind w:left="43"/>
                    <w:jc w:val="center"/>
                    <w:rPr>
                      <w:sz w:val="16"/>
                      <w:szCs w:val="16"/>
                    </w:rPr>
                  </w:pPr>
                  <w:r w:rsidRPr="00FD0918">
                    <w:rPr>
                      <w:sz w:val="16"/>
                      <w:szCs w:val="16"/>
                    </w:rPr>
                    <w:t>У повному обсязі</w:t>
                  </w:r>
                </w:p>
              </w:tc>
              <w:tc>
                <w:tcPr>
                  <w:tcW w:w="1985" w:type="dxa"/>
                  <w:gridSpan w:val="2"/>
                  <w:vAlign w:val="center"/>
                </w:tcPr>
                <w:p w14:paraId="0A5BA29B" w14:textId="77777777" w:rsidR="00DA225C" w:rsidRPr="00FD0918" w:rsidRDefault="00DA225C" w:rsidP="00DA225C">
                  <w:pPr>
                    <w:pStyle w:val="ae"/>
                    <w:keepLines/>
                    <w:widowControl w:val="0"/>
                    <w:tabs>
                      <w:tab w:val="left" w:pos="326"/>
                    </w:tabs>
                    <w:ind w:left="43"/>
                    <w:jc w:val="center"/>
                    <w:rPr>
                      <w:sz w:val="16"/>
                      <w:szCs w:val="16"/>
                    </w:rPr>
                  </w:pPr>
                  <w:r w:rsidRPr="00FD0918">
                    <w:rPr>
                      <w:sz w:val="16"/>
                      <w:szCs w:val="16"/>
                    </w:rPr>
                    <w:t>У повному обсязі</w:t>
                  </w:r>
                </w:p>
              </w:tc>
            </w:tr>
            <w:tr w:rsidR="00DA225C" w:rsidRPr="00FD0918" w14:paraId="686A453F" w14:textId="77777777" w:rsidTr="003059A5">
              <w:tc>
                <w:tcPr>
                  <w:tcW w:w="318" w:type="dxa"/>
                  <w:vAlign w:val="center"/>
                </w:tcPr>
                <w:p w14:paraId="741A4E5E" w14:textId="77777777" w:rsidR="00DA225C" w:rsidRPr="00FD0918" w:rsidRDefault="00DA225C" w:rsidP="00DA225C">
                  <w:pPr>
                    <w:keepLines/>
                    <w:widowControl w:val="0"/>
                    <w:jc w:val="center"/>
                    <w:rPr>
                      <w:sz w:val="16"/>
                      <w:szCs w:val="16"/>
                    </w:rPr>
                  </w:pPr>
                  <w:r w:rsidRPr="00FD0918">
                    <w:rPr>
                      <w:sz w:val="16"/>
                      <w:szCs w:val="16"/>
                    </w:rPr>
                    <w:t>2</w:t>
                  </w:r>
                </w:p>
              </w:tc>
              <w:tc>
                <w:tcPr>
                  <w:tcW w:w="2410" w:type="dxa"/>
                  <w:vAlign w:val="center"/>
                </w:tcPr>
                <w:p w14:paraId="303D6981" w14:textId="77777777" w:rsidR="00DA225C" w:rsidRPr="00FD0918" w:rsidRDefault="00DA225C" w:rsidP="00DA225C">
                  <w:pPr>
                    <w:keepLines/>
                    <w:widowControl w:val="0"/>
                    <w:rPr>
                      <w:sz w:val="16"/>
                      <w:szCs w:val="16"/>
                    </w:rPr>
                  </w:pPr>
                  <w:r w:rsidRPr="00FD0918">
                    <w:rPr>
                      <w:sz w:val="16"/>
                      <w:szCs w:val="16"/>
                    </w:rPr>
                    <w:t>Нерухоме майно</w:t>
                  </w:r>
                </w:p>
              </w:tc>
              <w:tc>
                <w:tcPr>
                  <w:tcW w:w="1985" w:type="dxa"/>
                  <w:gridSpan w:val="2"/>
                  <w:vAlign w:val="center"/>
                </w:tcPr>
                <w:p w14:paraId="3F054F5B" w14:textId="77777777" w:rsidR="00DA225C" w:rsidRPr="00FD0918" w:rsidRDefault="00DA225C" w:rsidP="00DA225C">
                  <w:pPr>
                    <w:keepLines/>
                    <w:widowControl w:val="0"/>
                    <w:ind w:left="43"/>
                    <w:jc w:val="center"/>
                    <w:rPr>
                      <w:sz w:val="16"/>
                      <w:szCs w:val="16"/>
                    </w:rPr>
                  </w:pPr>
                  <w:r w:rsidRPr="00FD0918">
                    <w:rPr>
                      <w:sz w:val="16"/>
                      <w:szCs w:val="16"/>
                      <w:lang w:eastAsia="en-US"/>
                    </w:rPr>
                    <w:t>20</w:t>
                  </w:r>
                  <w:r w:rsidRPr="00FD0918">
                    <w:rPr>
                      <w:sz w:val="16"/>
                      <w:szCs w:val="16"/>
                    </w:rPr>
                    <w:t>%,</w:t>
                  </w:r>
                </w:p>
                <w:p w14:paraId="49C23990" w14:textId="77777777" w:rsidR="00DA225C" w:rsidRPr="00FD0918" w:rsidRDefault="00DA225C" w:rsidP="00DA225C">
                  <w:pPr>
                    <w:keepLines/>
                    <w:widowControl w:val="0"/>
                    <w:ind w:left="43"/>
                    <w:jc w:val="center"/>
                    <w:rPr>
                      <w:sz w:val="16"/>
                      <w:szCs w:val="16"/>
                    </w:rPr>
                  </w:pPr>
                  <w:r w:rsidRPr="00FD0918">
                    <w:rPr>
                      <w:sz w:val="16"/>
                      <w:szCs w:val="16"/>
                    </w:rPr>
                    <w:t>із них в один об’єкт нерухомого майна – 10%</w:t>
                  </w:r>
                </w:p>
              </w:tc>
              <w:tc>
                <w:tcPr>
                  <w:tcW w:w="1985" w:type="dxa"/>
                  <w:gridSpan w:val="2"/>
                  <w:vAlign w:val="center"/>
                </w:tcPr>
                <w:p w14:paraId="3B272B8B" w14:textId="77777777" w:rsidR="00DA225C" w:rsidRPr="00FD0918" w:rsidRDefault="00DA225C" w:rsidP="00DA225C">
                  <w:pPr>
                    <w:keepLines/>
                    <w:widowControl w:val="0"/>
                    <w:ind w:firstLine="43"/>
                    <w:jc w:val="center"/>
                    <w:rPr>
                      <w:sz w:val="16"/>
                      <w:szCs w:val="16"/>
                    </w:rPr>
                  </w:pPr>
                  <w:r w:rsidRPr="00FD0918">
                    <w:rPr>
                      <w:sz w:val="16"/>
                      <w:szCs w:val="16"/>
                    </w:rPr>
                    <w:t>20%,</w:t>
                  </w:r>
                </w:p>
                <w:p w14:paraId="68BE525A" w14:textId="77777777" w:rsidR="00DA225C" w:rsidRPr="00FD0918" w:rsidRDefault="00DA225C" w:rsidP="00DA225C">
                  <w:pPr>
                    <w:keepLines/>
                    <w:widowControl w:val="0"/>
                    <w:ind w:firstLine="43"/>
                    <w:jc w:val="center"/>
                    <w:rPr>
                      <w:sz w:val="16"/>
                      <w:szCs w:val="16"/>
                    </w:rPr>
                  </w:pPr>
                  <w:r w:rsidRPr="00FD0918">
                    <w:rPr>
                      <w:sz w:val="16"/>
                      <w:szCs w:val="16"/>
                    </w:rPr>
                    <w:t>із них в один об’єкт нерухомого майна – 10%</w:t>
                  </w:r>
                </w:p>
              </w:tc>
            </w:tr>
            <w:tr w:rsidR="00DA225C" w:rsidRPr="00FD0918" w14:paraId="715ABFFD" w14:textId="77777777" w:rsidTr="003059A5">
              <w:tc>
                <w:tcPr>
                  <w:tcW w:w="318" w:type="dxa"/>
                  <w:vAlign w:val="center"/>
                </w:tcPr>
                <w:p w14:paraId="4FEF7A12" w14:textId="77777777" w:rsidR="00DA225C" w:rsidRPr="00FD0918" w:rsidRDefault="00DA225C" w:rsidP="00DA225C">
                  <w:pPr>
                    <w:keepLines/>
                    <w:widowControl w:val="0"/>
                    <w:jc w:val="center"/>
                    <w:rPr>
                      <w:sz w:val="16"/>
                      <w:szCs w:val="16"/>
                    </w:rPr>
                  </w:pPr>
                  <w:r w:rsidRPr="00FD0918">
                    <w:rPr>
                      <w:sz w:val="16"/>
                      <w:szCs w:val="16"/>
                    </w:rPr>
                    <w:lastRenderedPageBreak/>
                    <w:t>3</w:t>
                  </w:r>
                </w:p>
              </w:tc>
              <w:tc>
                <w:tcPr>
                  <w:tcW w:w="2410" w:type="dxa"/>
                  <w:vAlign w:val="center"/>
                </w:tcPr>
                <w:p w14:paraId="312AEBDE" w14:textId="77777777" w:rsidR="00DA225C" w:rsidRPr="00FD0918" w:rsidRDefault="00DA225C" w:rsidP="00DA225C">
                  <w:pPr>
                    <w:keepLines/>
                    <w:widowControl w:val="0"/>
                    <w:rPr>
                      <w:sz w:val="16"/>
                      <w:szCs w:val="16"/>
                    </w:rPr>
                  </w:pPr>
                  <w:r w:rsidRPr="00FD0918">
                    <w:rPr>
                      <w:sz w:val="16"/>
                      <w:szCs w:val="16"/>
                    </w:rPr>
                    <w:t>Цінні папери, а також дебіторська заборгованість за нарахованими відсотками за такими цінними паперами (у разі наявності умов нарахування відсотків за такими цінними паперами) згідно з таким переліком:</w:t>
                  </w:r>
                </w:p>
              </w:tc>
              <w:tc>
                <w:tcPr>
                  <w:tcW w:w="1985" w:type="dxa"/>
                  <w:gridSpan w:val="2"/>
                  <w:vAlign w:val="center"/>
                </w:tcPr>
                <w:p w14:paraId="56A769A1" w14:textId="77777777" w:rsidR="00DA225C" w:rsidRPr="00FD0918" w:rsidRDefault="00DA225C" w:rsidP="00DA225C">
                  <w:pPr>
                    <w:keepLines/>
                    <w:widowControl w:val="0"/>
                    <w:ind w:firstLine="43"/>
                    <w:jc w:val="center"/>
                    <w:rPr>
                      <w:sz w:val="16"/>
                      <w:szCs w:val="16"/>
                    </w:rPr>
                  </w:pPr>
                  <w:r w:rsidRPr="00FD0918">
                    <w:rPr>
                      <w:sz w:val="16"/>
                      <w:szCs w:val="16"/>
                    </w:rPr>
                    <w:t>30%</w:t>
                  </w:r>
                </w:p>
              </w:tc>
              <w:tc>
                <w:tcPr>
                  <w:tcW w:w="1985" w:type="dxa"/>
                  <w:gridSpan w:val="2"/>
                  <w:vAlign w:val="center"/>
                </w:tcPr>
                <w:p w14:paraId="6F8C385A" w14:textId="77777777" w:rsidR="00DA225C" w:rsidRPr="00FD0918" w:rsidRDefault="00DA225C" w:rsidP="00DA225C">
                  <w:pPr>
                    <w:keepLines/>
                    <w:widowControl w:val="0"/>
                    <w:ind w:firstLine="43"/>
                    <w:jc w:val="center"/>
                    <w:rPr>
                      <w:sz w:val="16"/>
                      <w:szCs w:val="16"/>
                    </w:rPr>
                  </w:pPr>
                  <w:r w:rsidRPr="00FD0918">
                    <w:rPr>
                      <w:sz w:val="16"/>
                      <w:szCs w:val="16"/>
                    </w:rPr>
                    <w:t>30%</w:t>
                  </w:r>
                </w:p>
              </w:tc>
            </w:tr>
            <w:tr w:rsidR="00DA225C" w:rsidRPr="00FD0918" w14:paraId="38F95B3E" w14:textId="77777777" w:rsidTr="003059A5">
              <w:tc>
                <w:tcPr>
                  <w:tcW w:w="318" w:type="dxa"/>
                  <w:vAlign w:val="center"/>
                </w:tcPr>
                <w:p w14:paraId="4184514F" w14:textId="77777777" w:rsidR="00DA225C" w:rsidRPr="00FD0918" w:rsidRDefault="00DA225C" w:rsidP="00DA225C">
                  <w:pPr>
                    <w:keepLines/>
                    <w:widowControl w:val="0"/>
                    <w:jc w:val="center"/>
                    <w:rPr>
                      <w:sz w:val="16"/>
                      <w:szCs w:val="16"/>
                    </w:rPr>
                  </w:pPr>
                  <w:r w:rsidRPr="00FD0918">
                    <w:rPr>
                      <w:sz w:val="16"/>
                      <w:szCs w:val="16"/>
                    </w:rPr>
                    <w:t>4</w:t>
                  </w:r>
                </w:p>
              </w:tc>
              <w:tc>
                <w:tcPr>
                  <w:tcW w:w="2410" w:type="dxa"/>
                  <w:vAlign w:val="center"/>
                </w:tcPr>
                <w:p w14:paraId="0C301C0B" w14:textId="77777777" w:rsidR="00DA225C" w:rsidRPr="00FD0918" w:rsidRDefault="00DA225C" w:rsidP="00DA225C">
                  <w:pPr>
                    <w:keepLines/>
                    <w:widowControl w:val="0"/>
                    <w:rPr>
                      <w:sz w:val="16"/>
                      <w:szCs w:val="16"/>
                    </w:rPr>
                  </w:pPr>
                  <w:r w:rsidRPr="00FD0918">
                    <w:rPr>
                      <w:sz w:val="16"/>
                      <w:szCs w:val="16"/>
                    </w:rPr>
                    <w:t>акції українських емітентів</w:t>
                  </w:r>
                </w:p>
              </w:tc>
              <w:tc>
                <w:tcPr>
                  <w:tcW w:w="1985" w:type="dxa"/>
                  <w:gridSpan w:val="2"/>
                  <w:vAlign w:val="center"/>
                </w:tcPr>
                <w:p w14:paraId="2CB08B65" w14:textId="77777777" w:rsidR="00DA225C" w:rsidRPr="00FD0918" w:rsidRDefault="00DA225C" w:rsidP="00DA225C">
                  <w:pPr>
                    <w:keepLines/>
                    <w:widowControl w:val="0"/>
                    <w:ind w:firstLine="43"/>
                    <w:jc w:val="center"/>
                    <w:rPr>
                      <w:sz w:val="16"/>
                      <w:szCs w:val="16"/>
                    </w:rPr>
                  </w:pPr>
                  <w:r w:rsidRPr="00FD0918">
                    <w:rPr>
                      <w:sz w:val="16"/>
                      <w:szCs w:val="16"/>
                    </w:rPr>
                    <w:t>3%</w:t>
                  </w:r>
                </w:p>
              </w:tc>
              <w:tc>
                <w:tcPr>
                  <w:tcW w:w="1985" w:type="dxa"/>
                  <w:gridSpan w:val="2"/>
                  <w:vAlign w:val="center"/>
                </w:tcPr>
                <w:p w14:paraId="0BE05A6A" w14:textId="77777777" w:rsidR="00DA225C" w:rsidRPr="00FD0918" w:rsidRDefault="00DA225C" w:rsidP="00DA225C">
                  <w:pPr>
                    <w:keepLines/>
                    <w:widowControl w:val="0"/>
                    <w:ind w:firstLine="43"/>
                    <w:jc w:val="center"/>
                    <w:rPr>
                      <w:sz w:val="16"/>
                      <w:szCs w:val="16"/>
                    </w:rPr>
                  </w:pPr>
                  <w:r w:rsidRPr="00FD0918">
                    <w:rPr>
                      <w:sz w:val="16"/>
                      <w:szCs w:val="16"/>
                    </w:rPr>
                    <w:t>3%</w:t>
                  </w:r>
                </w:p>
              </w:tc>
            </w:tr>
            <w:tr w:rsidR="00DA225C" w:rsidRPr="00FD0918" w14:paraId="2BA2C285" w14:textId="77777777" w:rsidTr="003059A5">
              <w:tc>
                <w:tcPr>
                  <w:tcW w:w="318" w:type="dxa"/>
                  <w:vAlign w:val="center"/>
                </w:tcPr>
                <w:p w14:paraId="512E1EFB" w14:textId="77777777" w:rsidR="00DA225C" w:rsidRPr="00FD0918" w:rsidRDefault="00DA225C" w:rsidP="00DA225C">
                  <w:pPr>
                    <w:keepLines/>
                    <w:widowControl w:val="0"/>
                    <w:jc w:val="center"/>
                    <w:rPr>
                      <w:sz w:val="16"/>
                      <w:szCs w:val="16"/>
                    </w:rPr>
                  </w:pPr>
                  <w:r w:rsidRPr="00FD0918">
                    <w:rPr>
                      <w:sz w:val="16"/>
                      <w:szCs w:val="16"/>
                    </w:rPr>
                    <w:t>5</w:t>
                  </w:r>
                </w:p>
              </w:tc>
              <w:tc>
                <w:tcPr>
                  <w:tcW w:w="2410" w:type="dxa"/>
                  <w:vAlign w:val="center"/>
                </w:tcPr>
                <w:p w14:paraId="71676BA2" w14:textId="77777777" w:rsidR="00DA225C" w:rsidRPr="00FD0918" w:rsidRDefault="00DA225C" w:rsidP="00DA225C">
                  <w:pPr>
                    <w:keepLines/>
                    <w:widowControl w:val="0"/>
                    <w:rPr>
                      <w:sz w:val="16"/>
                      <w:szCs w:val="16"/>
                    </w:rPr>
                  </w:pPr>
                  <w:r w:rsidRPr="00FD0918">
                    <w:rPr>
                      <w:sz w:val="16"/>
                      <w:szCs w:val="16"/>
                    </w:rPr>
                    <w:t>акції іноземних емітентів</w:t>
                  </w:r>
                </w:p>
              </w:tc>
              <w:tc>
                <w:tcPr>
                  <w:tcW w:w="992" w:type="dxa"/>
                  <w:vAlign w:val="center"/>
                </w:tcPr>
                <w:p w14:paraId="279907A3" w14:textId="77777777" w:rsidR="00DA225C" w:rsidRPr="00FD0918" w:rsidRDefault="00DA225C" w:rsidP="00DA225C">
                  <w:pPr>
                    <w:keepLines/>
                    <w:widowControl w:val="0"/>
                    <w:ind w:firstLine="43"/>
                    <w:jc w:val="center"/>
                    <w:rPr>
                      <w:sz w:val="16"/>
                      <w:szCs w:val="16"/>
                    </w:rPr>
                  </w:pPr>
                  <w:r w:rsidRPr="00FD0918">
                    <w:rPr>
                      <w:sz w:val="16"/>
                      <w:szCs w:val="16"/>
                    </w:rPr>
                    <w:t>10%</w:t>
                  </w:r>
                </w:p>
              </w:tc>
              <w:tc>
                <w:tcPr>
                  <w:tcW w:w="993" w:type="dxa"/>
                  <w:vAlign w:val="center"/>
                </w:tcPr>
                <w:p w14:paraId="34C6AD57" w14:textId="77777777" w:rsidR="00DA225C" w:rsidRPr="00FD0918" w:rsidRDefault="00DA225C" w:rsidP="00DA225C">
                  <w:pPr>
                    <w:keepLines/>
                    <w:widowControl w:val="0"/>
                    <w:ind w:firstLine="43"/>
                    <w:jc w:val="center"/>
                    <w:rPr>
                      <w:sz w:val="16"/>
                      <w:szCs w:val="16"/>
                    </w:rPr>
                  </w:pPr>
                  <w:r w:rsidRPr="00FD0918">
                    <w:rPr>
                      <w:sz w:val="16"/>
                      <w:szCs w:val="16"/>
                    </w:rPr>
                    <w:t>3%</w:t>
                  </w:r>
                </w:p>
              </w:tc>
              <w:tc>
                <w:tcPr>
                  <w:tcW w:w="992" w:type="dxa"/>
                  <w:vAlign w:val="center"/>
                </w:tcPr>
                <w:p w14:paraId="44F4B421" w14:textId="77777777" w:rsidR="00DA225C" w:rsidRPr="00FD0918" w:rsidRDefault="00DA225C" w:rsidP="00DA225C">
                  <w:pPr>
                    <w:keepLines/>
                    <w:widowControl w:val="0"/>
                    <w:ind w:firstLine="43"/>
                    <w:jc w:val="center"/>
                    <w:rPr>
                      <w:sz w:val="16"/>
                      <w:szCs w:val="16"/>
                    </w:rPr>
                  </w:pPr>
                  <w:r w:rsidRPr="00FD0918">
                    <w:rPr>
                      <w:sz w:val="16"/>
                      <w:szCs w:val="16"/>
                    </w:rPr>
                    <w:t>10%</w:t>
                  </w:r>
                </w:p>
              </w:tc>
              <w:tc>
                <w:tcPr>
                  <w:tcW w:w="993" w:type="dxa"/>
                  <w:vAlign w:val="center"/>
                </w:tcPr>
                <w:p w14:paraId="7AAF2170" w14:textId="77777777" w:rsidR="00DA225C" w:rsidRPr="00FD0918" w:rsidRDefault="00DA225C" w:rsidP="00DA225C">
                  <w:pPr>
                    <w:keepLines/>
                    <w:widowControl w:val="0"/>
                    <w:ind w:firstLine="43"/>
                    <w:jc w:val="center"/>
                    <w:rPr>
                      <w:sz w:val="16"/>
                      <w:szCs w:val="16"/>
                    </w:rPr>
                  </w:pPr>
                  <w:r w:rsidRPr="00FD0918">
                    <w:rPr>
                      <w:sz w:val="16"/>
                      <w:szCs w:val="16"/>
                    </w:rPr>
                    <w:t>3%</w:t>
                  </w:r>
                </w:p>
              </w:tc>
            </w:tr>
            <w:tr w:rsidR="00DA225C" w:rsidRPr="00FD0918" w14:paraId="04A364FB" w14:textId="77777777" w:rsidTr="003059A5">
              <w:tc>
                <w:tcPr>
                  <w:tcW w:w="318" w:type="dxa"/>
                  <w:vAlign w:val="center"/>
                </w:tcPr>
                <w:p w14:paraId="1E0D3379" w14:textId="77777777" w:rsidR="00DA225C" w:rsidRPr="00FD0918" w:rsidRDefault="00DA225C" w:rsidP="00DA225C">
                  <w:pPr>
                    <w:keepLines/>
                    <w:widowControl w:val="0"/>
                    <w:jc w:val="center"/>
                    <w:rPr>
                      <w:sz w:val="16"/>
                      <w:szCs w:val="16"/>
                    </w:rPr>
                  </w:pPr>
                  <w:r w:rsidRPr="00FD0918">
                    <w:rPr>
                      <w:sz w:val="16"/>
                      <w:szCs w:val="16"/>
                    </w:rPr>
                    <w:t>6</w:t>
                  </w:r>
                </w:p>
              </w:tc>
              <w:tc>
                <w:tcPr>
                  <w:tcW w:w="2410" w:type="dxa"/>
                  <w:vAlign w:val="center"/>
                </w:tcPr>
                <w:p w14:paraId="7B7C638C" w14:textId="77777777" w:rsidR="00DA225C" w:rsidRPr="00FD0918" w:rsidRDefault="00DA225C" w:rsidP="00DA225C">
                  <w:pPr>
                    <w:keepLines/>
                    <w:widowControl w:val="0"/>
                    <w:rPr>
                      <w:sz w:val="16"/>
                      <w:szCs w:val="16"/>
                    </w:rPr>
                  </w:pPr>
                  <w:r w:rsidRPr="00FD0918">
                    <w:rPr>
                      <w:sz w:val="16"/>
                      <w:szCs w:val="16"/>
                    </w:rPr>
                    <w:t>корпоративні облігації українських емітентів</w:t>
                  </w:r>
                </w:p>
              </w:tc>
              <w:tc>
                <w:tcPr>
                  <w:tcW w:w="1985" w:type="dxa"/>
                  <w:gridSpan w:val="2"/>
                  <w:vAlign w:val="center"/>
                </w:tcPr>
                <w:p w14:paraId="6E03F3B5"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10%</w:t>
                  </w:r>
                </w:p>
              </w:tc>
              <w:tc>
                <w:tcPr>
                  <w:tcW w:w="1985" w:type="dxa"/>
                  <w:gridSpan w:val="2"/>
                  <w:vAlign w:val="center"/>
                </w:tcPr>
                <w:p w14:paraId="28A95EB7"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10%</w:t>
                  </w:r>
                </w:p>
              </w:tc>
            </w:tr>
            <w:tr w:rsidR="00DA225C" w:rsidRPr="00FD0918" w14:paraId="66C9D829" w14:textId="77777777" w:rsidTr="003059A5">
              <w:tc>
                <w:tcPr>
                  <w:tcW w:w="318" w:type="dxa"/>
                  <w:vAlign w:val="center"/>
                </w:tcPr>
                <w:p w14:paraId="0B65A423" w14:textId="77777777" w:rsidR="00DA225C" w:rsidRPr="00FD0918" w:rsidRDefault="00DA225C" w:rsidP="00DA225C">
                  <w:pPr>
                    <w:keepLines/>
                    <w:widowControl w:val="0"/>
                    <w:jc w:val="center"/>
                    <w:rPr>
                      <w:sz w:val="16"/>
                      <w:szCs w:val="16"/>
                    </w:rPr>
                  </w:pPr>
                  <w:r w:rsidRPr="00FD0918">
                    <w:rPr>
                      <w:sz w:val="16"/>
                      <w:szCs w:val="16"/>
                    </w:rPr>
                    <w:t>7</w:t>
                  </w:r>
                </w:p>
              </w:tc>
              <w:tc>
                <w:tcPr>
                  <w:tcW w:w="2410" w:type="dxa"/>
                  <w:vAlign w:val="center"/>
                </w:tcPr>
                <w:p w14:paraId="555699F8" w14:textId="77777777" w:rsidR="00DA225C" w:rsidRPr="00FD0918" w:rsidRDefault="00DA225C" w:rsidP="00DA225C">
                  <w:pPr>
                    <w:keepLines/>
                    <w:widowControl w:val="0"/>
                    <w:rPr>
                      <w:sz w:val="16"/>
                      <w:szCs w:val="16"/>
                    </w:rPr>
                  </w:pPr>
                  <w:r w:rsidRPr="00FD0918">
                    <w:rPr>
                      <w:sz w:val="16"/>
                      <w:szCs w:val="16"/>
                    </w:rPr>
                    <w:t>корпоративні облігації іноземних емітентів</w:t>
                  </w:r>
                </w:p>
              </w:tc>
              <w:tc>
                <w:tcPr>
                  <w:tcW w:w="1985" w:type="dxa"/>
                  <w:gridSpan w:val="2"/>
                  <w:vAlign w:val="center"/>
                </w:tcPr>
                <w:p w14:paraId="765DB554" w14:textId="77777777" w:rsidR="00DA225C" w:rsidRPr="00FD0918" w:rsidRDefault="00DA225C" w:rsidP="00DA225C">
                  <w:pPr>
                    <w:keepLines/>
                    <w:widowControl w:val="0"/>
                    <w:jc w:val="center"/>
                    <w:rPr>
                      <w:sz w:val="16"/>
                      <w:szCs w:val="16"/>
                    </w:rPr>
                  </w:pPr>
                  <w:r w:rsidRPr="00FD0918">
                    <w:rPr>
                      <w:sz w:val="16"/>
                      <w:szCs w:val="16"/>
                    </w:rPr>
                    <w:t>10%</w:t>
                  </w:r>
                </w:p>
              </w:tc>
              <w:tc>
                <w:tcPr>
                  <w:tcW w:w="1985" w:type="dxa"/>
                  <w:gridSpan w:val="2"/>
                  <w:vAlign w:val="center"/>
                </w:tcPr>
                <w:p w14:paraId="0402497C" w14:textId="77777777" w:rsidR="00DA225C" w:rsidRPr="00FD0918" w:rsidRDefault="00DA225C" w:rsidP="00DA225C">
                  <w:pPr>
                    <w:keepLines/>
                    <w:widowControl w:val="0"/>
                    <w:jc w:val="center"/>
                    <w:rPr>
                      <w:sz w:val="16"/>
                      <w:szCs w:val="16"/>
                    </w:rPr>
                  </w:pPr>
                  <w:r w:rsidRPr="00FD0918">
                    <w:rPr>
                      <w:sz w:val="16"/>
                      <w:szCs w:val="16"/>
                    </w:rPr>
                    <w:t>10%</w:t>
                  </w:r>
                </w:p>
              </w:tc>
            </w:tr>
            <w:tr w:rsidR="00DA225C" w:rsidRPr="00FD0918" w14:paraId="18EABEC7" w14:textId="77777777" w:rsidTr="003059A5">
              <w:tc>
                <w:tcPr>
                  <w:tcW w:w="318" w:type="dxa"/>
                  <w:vAlign w:val="center"/>
                </w:tcPr>
                <w:p w14:paraId="68768CFC" w14:textId="77777777" w:rsidR="00DA225C" w:rsidRPr="00FD0918" w:rsidRDefault="00DA225C" w:rsidP="00DA225C">
                  <w:pPr>
                    <w:keepLines/>
                    <w:widowControl w:val="0"/>
                    <w:jc w:val="center"/>
                    <w:rPr>
                      <w:sz w:val="16"/>
                      <w:szCs w:val="16"/>
                    </w:rPr>
                  </w:pPr>
                  <w:r w:rsidRPr="00FD0918">
                    <w:rPr>
                      <w:sz w:val="16"/>
                      <w:szCs w:val="16"/>
                    </w:rPr>
                    <w:t>8</w:t>
                  </w:r>
                </w:p>
              </w:tc>
              <w:tc>
                <w:tcPr>
                  <w:tcW w:w="2410" w:type="dxa"/>
                  <w:vAlign w:val="center"/>
                </w:tcPr>
                <w:p w14:paraId="270B9590" w14:textId="77777777" w:rsidR="00DA225C" w:rsidRPr="00FD0918" w:rsidRDefault="00DA225C" w:rsidP="00DA225C">
                  <w:pPr>
                    <w:keepLines/>
                    <w:widowControl w:val="0"/>
                    <w:rPr>
                      <w:sz w:val="16"/>
                      <w:szCs w:val="16"/>
                    </w:rPr>
                  </w:pPr>
                  <w:r w:rsidRPr="00FD0918">
                    <w:rPr>
                      <w:sz w:val="16"/>
                      <w:szCs w:val="16"/>
                    </w:rPr>
                    <w:t>цінні папери іноземних держав-емітентів</w:t>
                  </w:r>
                </w:p>
              </w:tc>
              <w:tc>
                <w:tcPr>
                  <w:tcW w:w="1985" w:type="dxa"/>
                  <w:gridSpan w:val="2"/>
                  <w:vMerge w:val="restart"/>
                  <w:vAlign w:val="center"/>
                </w:tcPr>
                <w:p w14:paraId="02756C04" w14:textId="77777777" w:rsidR="00DA225C" w:rsidRPr="00FD0918" w:rsidRDefault="00DA225C" w:rsidP="00DA225C">
                  <w:pPr>
                    <w:keepLines/>
                    <w:widowControl w:val="0"/>
                    <w:jc w:val="center"/>
                    <w:rPr>
                      <w:sz w:val="16"/>
                      <w:szCs w:val="16"/>
                    </w:rPr>
                  </w:pPr>
                  <w:r w:rsidRPr="00FD0918">
                    <w:rPr>
                      <w:sz w:val="16"/>
                      <w:szCs w:val="16"/>
                    </w:rPr>
                    <w:t>20%</w:t>
                  </w:r>
                </w:p>
              </w:tc>
              <w:tc>
                <w:tcPr>
                  <w:tcW w:w="1985" w:type="dxa"/>
                  <w:gridSpan w:val="2"/>
                  <w:vMerge w:val="restart"/>
                  <w:vAlign w:val="center"/>
                </w:tcPr>
                <w:p w14:paraId="6DBD797E" w14:textId="77777777" w:rsidR="00DA225C" w:rsidRPr="00FD0918" w:rsidRDefault="00DA225C" w:rsidP="00DA225C">
                  <w:pPr>
                    <w:keepLines/>
                    <w:widowControl w:val="0"/>
                    <w:jc w:val="center"/>
                    <w:rPr>
                      <w:sz w:val="16"/>
                      <w:szCs w:val="16"/>
                    </w:rPr>
                  </w:pPr>
                  <w:r w:rsidRPr="00FD0918">
                    <w:rPr>
                      <w:sz w:val="16"/>
                      <w:szCs w:val="16"/>
                    </w:rPr>
                    <w:t>20%</w:t>
                  </w:r>
                </w:p>
              </w:tc>
            </w:tr>
            <w:tr w:rsidR="00DA225C" w:rsidRPr="00FD0918" w14:paraId="1ECAD147" w14:textId="77777777" w:rsidTr="003059A5">
              <w:tc>
                <w:tcPr>
                  <w:tcW w:w="318" w:type="dxa"/>
                  <w:vAlign w:val="center"/>
                </w:tcPr>
                <w:p w14:paraId="00A5A759" w14:textId="77777777" w:rsidR="00DA225C" w:rsidRPr="00FD0918" w:rsidRDefault="00DA225C" w:rsidP="00DA225C">
                  <w:pPr>
                    <w:keepLines/>
                    <w:widowControl w:val="0"/>
                    <w:jc w:val="center"/>
                    <w:rPr>
                      <w:sz w:val="16"/>
                      <w:szCs w:val="16"/>
                    </w:rPr>
                  </w:pPr>
                  <w:r w:rsidRPr="00FD0918">
                    <w:rPr>
                      <w:sz w:val="16"/>
                      <w:szCs w:val="16"/>
                    </w:rPr>
                    <w:t>9</w:t>
                  </w:r>
                </w:p>
              </w:tc>
              <w:tc>
                <w:tcPr>
                  <w:tcW w:w="2410" w:type="dxa"/>
                  <w:vAlign w:val="center"/>
                </w:tcPr>
                <w:p w14:paraId="6E11A6A5" w14:textId="77777777" w:rsidR="00DA225C" w:rsidRPr="00FD0918" w:rsidRDefault="00DA225C" w:rsidP="00DA225C">
                  <w:pPr>
                    <w:keepLines/>
                    <w:widowControl w:val="0"/>
                    <w:rPr>
                      <w:sz w:val="16"/>
                      <w:szCs w:val="16"/>
                    </w:rPr>
                  </w:pPr>
                  <w:r w:rsidRPr="00FD0918">
                    <w:rPr>
                      <w:sz w:val="16"/>
                      <w:szCs w:val="16"/>
                    </w:rPr>
                    <w:t>облігації міжнародних фінансових організацій</w:t>
                  </w:r>
                </w:p>
              </w:tc>
              <w:tc>
                <w:tcPr>
                  <w:tcW w:w="1985" w:type="dxa"/>
                  <w:gridSpan w:val="2"/>
                  <w:vMerge/>
                  <w:vAlign w:val="center"/>
                </w:tcPr>
                <w:p w14:paraId="3632F351" w14:textId="77777777" w:rsidR="00DA225C" w:rsidRPr="00FD0918" w:rsidRDefault="00DA225C" w:rsidP="00DA225C">
                  <w:pPr>
                    <w:keepLines/>
                    <w:widowControl w:val="0"/>
                    <w:jc w:val="center"/>
                    <w:rPr>
                      <w:sz w:val="16"/>
                      <w:szCs w:val="16"/>
                    </w:rPr>
                  </w:pPr>
                </w:p>
              </w:tc>
              <w:tc>
                <w:tcPr>
                  <w:tcW w:w="1985" w:type="dxa"/>
                  <w:gridSpan w:val="2"/>
                  <w:vMerge/>
                  <w:vAlign w:val="center"/>
                </w:tcPr>
                <w:p w14:paraId="5BAD34AE" w14:textId="77777777" w:rsidR="00DA225C" w:rsidRPr="00FD0918" w:rsidRDefault="00DA225C" w:rsidP="00DA225C">
                  <w:pPr>
                    <w:keepLines/>
                    <w:widowControl w:val="0"/>
                    <w:jc w:val="center"/>
                    <w:rPr>
                      <w:sz w:val="16"/>
                      <w:szCs w:val="16"/>
                    </w:rPr>
                  </w:pPr>
                </w:p>
              </w:tc>
            </w:tr>
            <w:tr w:rsidR="00DA225C" w:rsidRPr="00FD0918" w14:paraId="0DADD2C3" w14:textId="77777777" w:rsidTr="003059A5">
              <w:tc>
                <w:tcPr>
                  <w:tcW w:w="318" w:type="dxa"/>
                  <w:vAlign w:val="center"/>
                </w:tcPr>
                <w:p w14:paraId="65CB5101" w14:textId="77777777" w:rsidR="00DA225C" w:rsidRPr="00FD0918" w:rsidRDefault="00DA225C" w:rsidP="00DA225C">
                  <w:pPr>
                    <w:keepLines/>
                    <w:widowControl w:val="0"/>
                    <w:jc w:val="center"/>
                    <w:rPr>
                      <w:sz w:val="16"/>
                      <w:szCs w:val="16"/>
                    </w:rPr>
                  </w:pPr>
                  <w:r w:rsidRPr="00FD0918">
                    <w:rPr>
                      <w:sz w:val="16"/>
                      <w:szCs w:val="16"/>
                    </w:rPr>
                    <w:t>10</w:t>
                  </w:r>
                </w:p>
              </w:tc>
              <w:tc>
                <w:tcPr>
                  <w:tcW w:w="2410" w:type="dxa"/>
                  <w:vAlign w:val="center"/>
                </w:tcPr>
                <w:p w14:paraId="43EF86C1" w14:textId="77777777" w:rsidR="00DA225C" w:rsidRPr="00FD0918" w:rsidRDefault="00DA225C" w:rsidP="00DA225C">
                  <w:pPr>
                    <w:keepLines/>
                    <w:widowControl w:val="0"/>
                    <w:rPr>
                      <w:sz w:val="16"/>
                      <w:szCs w:val="16"/>
                    </w:rPr>
                  </w:pPr>
                  <w:r w:rsidRPr="00FD0918">
                    <w:rPr>
                      <w:sz w:val="16"/>
                      <w:szCs w:val="16"/>
                    </w:rPr>
                    <w:t>облігації внутрішніх місцевих позик</w:t>
                  </w:r>
                </w:p>
              </w:tc>
              <w:tc>
                <w:tcPr>
                  <w:tcW w:w="1985" w:type="dxa"/>
                  <w:gridSpan w:val="2"/>
                  <w:vAlign w:val="center"/>
                </w:tcPr>
                <w:p w14:paraId="57116976" w14:textId="77777777" w:rsidR="00DA225C" w:rsidRPr="00FD0918" w:rsidRDefault="00DA225C" w:rsidP="00DA225C">
                  <w:pPr>
                    <w:keepLines/>
                    <w:widowControl w:val="0"/>
                    <w:jc w:val="center"/>
                    <w:rPr>
                      <w:sz w:val="16"/>
                      <w:szCs w:val="16"/>
                    </w:rPr>
                  </w:pPr>
                  <w:r w:rsidRPr="00FD0918">
                    <w:rPr>
                      <w:sz w:val="16"/>
                      <w:szCs w:val="16"/>
                    </w:rPr>
                    <w:t>10%</w:t>
                  </w:r>
                </w:p>
              </w:tc>
              <w:tc>
                <w:tcPr>
                  <w:tcW w:w="1985" w:type="dxa"/>
                  <w:gridSpan w:val="2"/>
                  <w:vAlign w:val="center"/>
                </w:tcPr>
                <w:p w14:paraId="5207BB6B" w14:textId="77777777" w:rsidR="00DA225C" w:rsidRPr="00FD0918" w:rsidRDefault="00DA225C" w:rsidP="00DA225C">
                  <w:pPr>
                    <w:keepLines/>
                    <w:widowControl w:val="0"/>
                    <w:jc w:val="center"/>
                    <w:rPr>
                      <w:sz w:val="16"/>
                      <w:szCs w:val="16"/>
                    </w:rPr>
                  </w:pPr>
                  <w:r w:rsidRPr="00FD0918">
                    <w:rPr>
                      <w:sz w:val="16"/>
                      <w:szCs w:val="16"/>
                    </w:rPr>
                    <w:t>10%</w:t>
                  </w:r>
                </w:p>
              </w:tc>
            </w:tr>
            <w:tr w:rsidR="00DA225C" w:rsidRPr="00FD0918" w14:paraId="629A2B00" w14:textId="77777777" w:rsidTr="003059A5">
              <w:trPr>
                <w:trHeight w:val="1687"/>
              </w:trPr>
              <w:tc>
                <w:tcPr>
                  <w:tcW w:w="318" w:type="dxa"/>
                  <w:vAlign w:val="center"/>
                </w:tcPr>
                <w:p w14:paraId="607B42FA" w14:textId="77777777" w:rsidR="00DA225C" w:rsidRPr="00FD0918" w:rsidRDefault="00DA225C" w:rsidP="00DA225C">
                  <w:pPr>
                    <w:keepLines/>
                    <w:widowControl w:val="0"/>
                    <w:jc w:val="center"/>
                    <w:rPr>
                      <w:sz w:val="16"/>
                      <w:szCs w:val="16"/>
                    </w:rPr>
                  </w:pPr>
                  <w:r w:rsidRPr="00FD0918">
                    <w:rPr>
                      <w:sz w:val="16"/>
                      <w:szCs w:val="16"/>
                    </w:rPr>
                    <w:t>11</w:t>
                  </w:r>
                </w:p>
              </w:tc>
              <w:tc>
                <w:tcPr>
                  <w:tcW w:w="2410" w:type="dxa"/>
                  <w:vAlign w:val="center"/>
                </w:tcPr>
                <w:p w14:paraId="73C55D3D" w14:textId="5AF7CB99" w:rsidR="00DA225C" w:rsidRPr="00FD0918" w:rsidRDefault="00DA225C" w:rsidP="00DA225C">
                  <w:pPr>
                    <w:keepLines/>
                    <w:widowControl w:val="0"/>
                    <w:tabs>
                      <w:tab w:val="left" w:pos="1134"/>
                    </w:tabs>
                    <w:rPr>
                      <w:sz w:val="16"/>
                      <w:szCs w:val="16"/>
                    </w:rPr>
                  </w:pPr>
                  <w:r w:rsidRPr="00FD0918">
                    <w:rPr>
                      <w:sz w:val="16"/>
                      <w:szCs w:val="16"/>
                    </w:rPr>
                    <w:t>Державні облігації України</w:t>
                  </w:r>
                  <w:r w:rsidRPr="00DA225C">
                    <w:rPr>
                      <w:b/>
                      <w:sz w:val="16"/>
                      <w:szCs w:val="16"/>
                    </w:rPr>
                    <w:t>,</w:t>
                  </w:r>
                  <w:r>
                    <w:rPr>
                      <w:sz w:val="16"/>
                      <w:szCs w:val="16"/>
                    </w:rPr>
                    <w:t xml:space="preserve"> </w:t>
                  </w:r>
                  <w:r w:rsidRPr="00DA225C">
                    <w:rPr>
                      <w:b/>
                      <w:sz w:val="16"/>
                      <w:szCs w:val="16"/>
                    </w:rPr>
                    <w:t>визначені у пункті 34 глави 6 розділу ІІ Положення</w:t>
                  </w:r>
                  <w:r w:rsidRPr="00FD0918">
                    <w:rPr>
                      <w:sz w:val="16"/>
                      <w:szCs w:val="16"/>
                    </w:rPr>
                    <w:t>, а також дебіторська заборгованість за нарахованими відсотками за такими державними цінними паперами:</w:t>
                  </w:r>
                </w:p>
              </w:tc>
              <w:tc>
                <w:tcPr>
                  <w:tcW w:w="1985" w:type="dxa"/>
                  <w:gridSpan w:val="2"/>
                  <w:vAlign w:val="center"/>
                </w:tcPr>
                <w:p w14:paraId="7596E6FE" w14:textId="77777777" w:rsidR="00DA225C" w:rsidRPr="00FD0918" w:rsidRDefault="00DA225C" w:rsidP="00DA225C">
                  <w:pPr>
                    <w:keepLines/>
                    <w:widowControl w:val="0"/>
                    <w:tabs>
                      <w:tab w:val="left" w:pos="326"/>
                    </w:tabs>
                    <w:ind w:firstLine="43"/>
                    <w:jc w:val="center"/>
                    <w:rPr>
                      <w:sz w:val="16"/>
                      <w:szCs w:val="16"/>
                    </w:rPr>
                  </w:pPr>
                </w:p>
              </w:tc>
              <w:tc>
                <w:tcPr>
                  <w:tcW w:w="1985" w:type="dxa"/>
                  <w:gridSpan w:val="2"/>
                  <w:vAlign w:val="center"/>
                </w:tcPr>
                <w:p w14:paraId="3928859A" w14:textId="77777777" w:rsidR="00DA225C" w:rsidRPr="00FD0918" w:rsidRDefault="00DA225C" w:rsidP="00DA225C">
                  <w:pPr>
                    <w:pStyle w:val="ae"/>
                    <w:keepLines/>
                    <w:widowControl w:val="0"/>
                    <w:tabs>
                      <w:tab w:val="left" w:pos="326"/>
                    </w:tabs>
                    <w:ind w:left="0" w:firstLine="43"/>
                    <w:jc w:val="center"/>
                    <w:rPr>
                      <w:sz w:val="16"/>
                      <w:szCs w:val="16"/>
                    </w:rPr>
                  </w:pPr>
                </w:p>
              </w:tc>
            </w:tr>
            <w:tr w:rsidR="00DA225C" w:rsidRPr="00FD0918" w14:paraId="3752C703" w14:textId="77777777" w:rsidTr="003059A5">
              <w:tc>
                <w:tcPr>
                  <w:tcW w:w="318" w:type="dxa"/>
                  <w:vAlign w:val="center"/>
                </w:tcPr>
                <w:p w14:paraId="4F7098D5" w14:textId="77777777" w:rsidR="00DA225C" w:rsidRPr="00FD0918" w:rsidRDefault="00DA225C" w:rsidP="00DA225C">
                  <w:pPr>
                    <w:keepLines/>
                    <w:widowControl w:val="0"/>
                    <w:jc w:val="center"/>
                    <w:rPr>
                      <w:sz w:val="16"/>
                      <w:szCs w:val="16"/>
                    </w:rPr>
                  </w:pPr>
                  <w:r w:rsidRPr="00FD0918">
                    <w:rPr>
                      <w:sz w:val="16"/>
                      <w:szCs w:val="16"/>
                    </w:rPr>
                    <w:t>12</w:t>
                  </w:r>
                </w:p>
              </w:tc>
              <w:tc>
                <w:tcPr>
                  <w:tcW w:w="2410" w:type="dxa"/>
                  <w:vAlign w:val="center"/>
                </w:tcPr>
                <w:p w14:paraId="2DA40A8E" w14:textId="77777777" w:rsidR="00DA225C" w:rsidRPr="00FD0918" w:rsidRDefault="00DA225C" w:rsidP="00DA225C">
                  <w:pPr>
                    <w:keepLines/>
                    <w:widowControl w:val="0"/>
                    <w:tabs>
                      <w:tab w:val="left" w:pos="1134"/>
                    </w:tabs>
                    <w:rPr>
                      <w:sz w:val="16"/>
                      <w:szCs w:val="16"/>
                    </w:rPr>
                  </w:pPr>
                  <w:r w:rsidRPr="00FD0918">
                    <w:rPr>
                      <w:sz w:val="16"/>
                      <w:szCs w:val="16"/>
                    </w:rPr>
                    <w:t xml:space="preserve">зі строком погашення (від дати розрахунку регулятивного капіталу до дати погашення), що не перевищує одного року і шести місяців </w:t>
                  </w:r>
                </w:p>
              </w:tc>
              <w:tc>
                <w:tcPr>
                  <w:tcW w:w="992" w:type="dxa"/>
                  <w:vAlign w:val="center"/>
                </w:tcPr>
                <w:p w14:paraId="0935C800" w14:textId="77777777" w:rsidR="00DA225C" w:rsidRPr="00FD0918" w:rsidRDefault="00DA225C" w:rsidP="00DA225C">
                  <w:pPr>
                    <w:keepLines/>
                    <w:widowControl w:val="0"/>
                    <w:tabs>
                      <w:tab w:val="left" w:pos="326"/>
                    </w:tabs>
                    <w:ind w:firstLine="43"/>
                    <w:jc w:val="center"/>
                    <w:rPr>
                      <w:sz w:val="16"/>
                      <w:szCs w:val="16"/>
                    </w:rPr>
                  </w:pPr>
                  <w:r w:rsidRPr="00FD0918">
                    <w:rPr>
                      <w:sz w:val="16"/>
                      <w:szCs w:val="16"/>
                    </w:rPr>
                    <w:t>90%</w:t>
                  </w:r>
                </w:p>
              </w:tc>
              <w:tc>
                <w:tcPr>
                  <w:tcW w:w="993" w:type="dxa"/>
                  <w:vAlign w:val="center"/>
                </w:tcPr>
                <w:p w14:paraId="6F465661" w14:textId="77777777" w:rsidR="00DA225C" w:rsidRPr="00FD0918" w:rsidRDefault="00DA225C" w:rsidP="00DA225C">
                  <w:pPr>
                    <w:keepLines/>
                    <w:widowControl w:val="0"/>
                    <w:tabs>
                      <w:tab w:val="left" w:pos="326"/>
                    </w:tabs>
                    <w:ind w:firstLine="43"/>
                    <w:jc w:val="center"/>
                    <w:rPr>
                      <w:sz w:val="16"/>
                      <w:szCs w:val="16"/>
                    </w:rPr>
                  </w:pPr>
                  <w:r w:rsidRPr="00FD0918">
                    <w:rPr>
                      <w:sz w:val="16"/>
                      <w:szCs w:val="16"/>
                    </w:rPr>
                    <w:t>80%</w:t>
                  </w:r>
                </w:p>
              </w:tc>
              <w:tc>
                <w:tcPr>
                  <w:tcW w:w="992" w:type="dxa"/>
                  <w:vAlign w:val="center"/>
                </w:tcPr>
                <w:p w14:paraId="786CB1C9"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90%</w:t>
                  </w:r>
                </w:p>
              </w:tc>
              <w:tc>
                <w:tcPr>
                  <w:tcW w:w="993" w:type="dxa"/>
                  <w:vAlign w:val="center"/>
                </w:tcPr>
                <w:p w14:paraId="7CED513F"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80%</w:t>
                  </w:r>
                </w:p>
              </w:tc>
            </w:tr>
            <w:tr w:rsidR="00DA225C" w:rsidRPr="00FD0918" w14:paraId="6D8C3112" w14:textId="77777777" w:rsidTr="003059A5">
              <w:tc>
                <w:tcPr>
                  <w:tcW w:w="318" w:type="dxa"/>
                  <w:vAlign w:val="center"/>
                </w:tcPr>
                <w:p w14:paraId="7DA991EE" w14:textId="77777777" w:rsidR="00DA225C" w:rsidRPr="00FD0918" w:rsidRDefault="00DA225C" w:rsidP="00DA225C">
                  <w:pPr>
                    <w:keepLines/>
                    <w:widowControl w:val="0"/>
                    <w:jc w:val="center"/>
                    <w:rPr>
                      <w:sz w:val="16"/>
                      <w:szCs w:val="16"/>
                    </w:rPr>
                  </w:pPr>
                  <w:r w:rsidRPr="00FD0918">
                    <w:rPr>
                      <w:sz w:val="16"/>
                      <w:szCs w:val="16"/>
                    </w:rPr>
                    <w:t>13</w:t>
                  </w:r>
                </w:p>
              </w:tc>
              <w:tc>
                <w:tcPr>
                  <w:tcW w:w="2410" w:type="dxa"/>
                  <w:vAlign w:val="center"/>
                </w:tcPr>
                <w:p w14:paraId="6D50617A" w14:textId="77777777" w:rsidR="00DA225C" w:rsidRPr="00FD0918" w:rsidRDefault="00DA225C" w:rsidP="00DA225C">
                  <w:pPr>
                    <w:keepLines/>
                    <w:widowControl w:val="0"/>
                    <w:tabs>
                      <w:tab w:val="left" w:pos="1134"/>
                    </w:tabs>
                    <w:rPr>
                      <w:sz w:val="16"/>
                      <w:szCs w:val="16"/>
                    </w:rPr>
                  </w:pPr>
                  <w:r w:rsidRPr="00FD0918">
                    <w:rPr>
                      <w:sz w:val="16"/>
                      <w:szCs w:val="16"/>
                    </w:rPr>
                    <w:t>зі строком погашення (від дати розрахунку регулятивного капіталу до дати погашення) більше одного року і шести місяців</w:t>
                  </w:r>
                </w:p>
              </w:tc>
              <w:tc>
                <w:tcPr>
                  <w:tcW w:w="992" w:type="dxa"/>
                  <w:vAlign w:val="center"/>
                </w:tcPr>
                <w:p w14:paraId="3FB875A3" w14:textId="77777777" w:rsidR="00DA225C" w:rsidRPr="00FD0918" w:rsidRDefault="00DA225C" w:rsidP="00DA225C">
                  <w:pPr>
                    <w:keepLines/>
                    <w:widowControl w:val="0"/>
                    <w:tabs>
                      <w:tab w:val="left" w:pos="326"/>
                    </w:tabs>
                    <w:ind w:firstLine="43"/>
                    <w:jc w:val="center"/>
                    <w:rPr>
                      <w:sz w:val="16"/>
                      <w:szCs w:val="16"/>
                    </w:rPr>
                  </w:pPr>
                  <w:r w:rsidRPr="00FD0918">
                    <w:rPr>
                      <w:sz w:val="16"/>
                      <w:szCs w:val="16"/>
                    </w:rPr>
                    <w:t>80%</w:t>
                  </w:r>
                </w:p>
              </w:tc>
              <w:tc>
                <w:tcPr>
                  <w:tcW w:w="993" w:type="dxa"/>
                  <w:vAlign w:val="center"/>
                </w:tcPr>
                <w:p w14:paraId="2285D2D8" w14:textId="77777777" w:rsidR="00DA225C" w:rsidRPr="00FD0918" w:rsidRDefault="00DA225C" w:rsidP="00DA225C">
                  <w:pPr>
                    <w:keepLines/>
                    <w:widowControl w:val="0"/>
                    <w:tabs>
                      <w:tab w:val="left" w:pos="326"/>
                    </w:tabs>
                    <w:ind w:firstLine="43"/>
                    <w:jc w:val="center"/>
                    <w:rPr>
                      <w:sz w:val="16"/>
                      <w:szCs w:val="16"/>
                    </w:rPr>
                  </w:pPr>
                  <w:r w:rsidRPr="00FD0918">
                    <w:rPr>
                      <w:sz w:val="16"/>
                      <w:szCs w:val="16"/>
                    </w:rPr>
                    <w:t>60%</w:t>
                  </w:r>
                </w:p>
              </w:tc>
              <w:tc>
                <w:tcPr>
                  <w:tcW w:w="992" w:type="dxa"/>
                  <w:vAlign w:val="center"/>
                </w:tcPr>
                <w:p w14:paraId="02F68024"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80%</w:t>
                  </w:r>
                </w:p>
              </w:tc>
              <w:tc>
                <w:tcPr>
                  <w:tcW w:w="993" w:type="dxa"/>
                  <w:vAlign w:val="center"/>
                </w:tcPr>
                <w:p w14:paraId="459E861F" w14:textId="77777777" w:rsidR="00DA225C" w:rsidRPr="00FD0918" w:rsidRDefault="00DA225C" w:rsidP="00DA225C">
                  <w:pPr>
                    <w:pStyle w:val="ae"/>
                    <w:keepLines/>
                    <w:widowControl w:val="0"/>
                    <w:tabs>
                      <w:tab w:val="left" w:pos="326"/>
                    </w:tabs>
                    <w:ind w:left="0" w:firstLine="43"/>
                    <w:jc w:val="center"/>
                    <w:rPr>
                      <w:sz w:val="16"/>
                      <w:szCs w:val="16"/>
                    </w:rPr>
                  </w:pPr>
                  <w:r w:rsidRPr="00FD0918">
                    <w:rPr>
                      <w:sz w:val="16"/>
                      <w:szCs w:val="16"/>
                    </w:rPr>
                    <w:t>60%</w:t>
                  </w:r>
                </w:p>
              </w:tc>
            </w:tr>
            <w:tr w:rsidR="00DA225C" w:rsidRPr="00FD0918" w14:paraId="71938ECD" w14:textId="77777777" w:rsidTr="003059A5">
              <w:tc>
                <w:tcPr>
                  <w:tcW w:w="318" w:type="dxa"/>
                  <w:vAlign w:val="center"/>
                </w:tcPr>
                <w:p w14:paraId="36438044" w14:textId="77777777" w:rsidR="00DA225C" w:rsidRPr="00FD0918" w:rsidRDefault="00DA225C" w:rsidP="00DA225C">
                  <w:pPr>
                    <w:keepLines/>
                    <w:widowControl w:val="0"/>
                    <w:jc w:val="center"/>
                    <w:rPr>
                      <w:sz w:val="16"/>
                      <w:szCs w:val="16"/>
                    </w:rPr>
                  </w:pPr>
                  <w:r w:rsidRPr="00FD0918">
                    <w:rPr>
                      <w:sz w:val="16"/>
                      <w:szCs w:val="16"/>
                    </w:rPr>
                    <w:t>14</w:t>
                  </w:r>
                </w:p>
              </w:tc>
              <w:tc>
                <w:tcPr>
                  <w:tcW w:w="2410" w:type="dxa"/>
                  <w:vAlign w:val="center"/>
                </w:tcPr>
                <w:p w14:paraId="569C8CF0" w14:textId="77777777" w:rsidR="00DA225C" w:rsidRPr="00C4691E" w:rsidRDefault="00DA225C" w:rsidP="00DA225C">
                  <w:pPr>
                    <w:keepLines/>
                    <w:widowControl w:val="0"/>
                    <w:tabs>
                      <w:tab w:val="left" w:pos="1134"/>
                    </w:tabs>
                    <w:rPr>
                      <w:sz w:val="16"/>
                      <w:szCs w:val="16"/>
                    </w:rPr>
                  </w:pPr>
                  <w:r w:rsidRPr="00C4691E">
                    <w:rPr>
                      <w:sz w:val="16"/>
                      <w:szCs w:val="16"/>
                    </w:rPr>
                    <w:t>Технічні резерви</w:t>
                  </w:r>
                  <w:r w:rsidRPr="00C4691E">
                    <w:rPr>
                      <w:sz w:val="16"/>
                      <w:szCs w:val="16"/>
                      <w:lang w:eastAsia="en-US"/>
                    </w:rPr>
                    <w:t xml:space="preserve"> за договорами ви</w:t>
                  </w:r>
                  <w:r w:rsidRPr="00C4691E">
                    <w:rPr>
                      <w:sz w:val="16"/>
                      <w:szCs w:val="16"/>
                    </w:rPr>
                    <w:t>хідного перестрахування згідно з таким переліком:</w:t>
                  </w:r>
                </w:p>
              </w:tc>
              <w:tc>
                <w:tcPr>
                  <w:tcW w:w="1985" w:type="dxa"/>
                  <w:gridSpan w:val="2"/>
                  <w:vAlign w:val="center"/>
                </w:tcPr>
                <w:p w14:paraId="4ED7C407" w14:textId="77777777" w:rsidR="00DA225C" w:rsidRPr="00C4691E" w:rsidRDefault="00DA225C" w:rsidP="00DA225C">
                  <w:pPr>
                    <w:keepLines/>
                    <w:widowControl w:val="0"/>
                    <w:ind w:firstLine="43"/>
                    <w:jc w:val="center"/>
                    <w:rPr>
                      <w:sz w:val="16"/>
                      <w:szCs w:val="16"/>
                    </w:rPr>
                  </w:pPr>
                </w:p>
              </w:tc>
              <w:tc>
                <w:tcPr>
                  <w:tcW w:w="1985" w:type="dxa"/>
                  <w:gridSpan w:val="2"/>
                </w:tcPr>
                <w:p w14:paraId="46882F83" w14:textId="77777777" w:rsidR="00DA225C" w:rsidRPr="00FD0918" w:rsidRDefault="00DA225C" w:rsidP="00DA225C">
                  <w:pPr>
                    <w:keepLines/>
                    <w:widowControl w:val="0"/>
                    <w:ind w:firstLine="43"/>
                    <w:jc w:val="center"/>
                    <w:rPr>
                      <w:sz w:val="16"/>
                      <w:szCs w:val="16"/>
                    </w:rPr>
                  </w:pPr>
                </w:p>
              </w:tc>
            </w:tr>
            <w:tr w:rsidR="00DA225C" w:rsidRPr="00FD0918" w14:paraId="099F37A7" w14:textId="77777777" w:rsidTr="003059A5">
              <w:tc>
                <w:tcPr>
                  <w:tcW w:w="318" w:type="dxa"/>
                  <w:vAlign w:val="center"/>
                </w:tcPr>
                <w:p w14:paraId="44DA42FC" w14:textId="77777777" w:rsidR="00DA225C" w:rsidRPr="00FD0918" w:rsidRDefault="00DA225C" w:rsidP="00DA225C">
                  <w:pPr>
                    <w:keepLines/>
                    <w:widowControl w:val="0"/>
                    <w:jc w:val="center"/>
                    <w:rPr>
                      <w:sz w:val="16"/>
                      <w:szCs w:val="16"/>
                    </w:rPr>
                  </w:pPr>
                  <w:r w:rsidRPr="00FD0918">
                    <w:rPr>
                      <w:sz w:val="16"/>
                      <w:szCs w:val="16"/>
                    </w:rPr>
                    <w:t>15</w:t>
                  </w:r>
                </w:p>
              </w:tc>
              <w:tc>
                <w:tcPr>
                  <w:tcW w:w="2410" w:type="dxa"/>
                  <w:vAlign w:val="center"/>
                </w:tcPr>
                <w:p w14:paraId="0448A8C6" w14:textId="77777777" w:rsidR="00DA225C" w:rsidRPr="00C4691E" w:rsidRDefault="00DA225C" w:rsidP="00DA225C">
                  <w:pPr>
                    <w:pStyle w:val="ae"/>
                    <w:keepLines/>
                    <w:widowControl w:val="0"/>
                    <w:tabs>
                      <w:tab w:val="left" w:pos="316"/>
                    </w:tabs>
                    <w:ind w:left="0"/>
                    <w:rPr>
                      <w:sz w:val="16"/>
                      <w:szCs w:val="16"/>
                    </w:rPr>
                  </w:pPr>
                  <w:r w:rsidRPr="00C4691E">
                    <w:rPr>
                      <w:sz w:val="16"/>
                      <w:szCs w:val="16"/>
                    </w:rPr>
                    <w:t xml:space="preserve">резерв збитків </w:t>
                  </w:r>
                  <w:r w:rsidRPr="00C4691E">
                    <w:rPr>
                      <w:sz w:val="16"/>
                      <w:szCs w:val="16"/>
                      <w:lang w:eastAsia="en-US"/>
                    </w:rPr>
                    <w:t>за договорами ви</w:t>
                  </w:r>
                  <w:r w:rsidRPr="00C4691E">
                    <w:rPr>
                      <w:sz w:val="16"/>
                      <w:szCs w:val="16"/>
                    </w:rPr>
                    <w:t>хідного перестрахування</w:t>
                  </w:r>
                </w:p>
              </w:tc>
              <w:tc>
                <w:tcPr>
                  <w:tcW w:w="1985" w:type="dxa"/>
                  <w:gridSpan w:val="2"/>
                  <w:vAlign w:val="center"/>
                </w:tcPr>
                <w:p w14:paraId="727F64A1" w14:textId="77777777" w:rsidR="00DA225C" w:rsidRPr="00C4691E" w:rsidRDefault="00DA225C" w:rsidP="00DA225C">
                  <w:pPr>
                    <w:keepLines/>
                    <w:widowControl w:val="0"/>
                    <w:jc w:val="center"/>
                    <w:rPr>
                      <w:sz w:val="16"/>
                      <w:szCs w:val="16"/>
                    </w:rPr>
                  </w:pPr>
                  <w:r w:rsidRPr="00C4691E">
                    <w:rPr>
                      <w:sz w:val="16"/>
                      <w:szCs w:val="16"/>
                    </w:rPr>
                    <w:t>У повному обсязі</w:t>
                  </w:r>
                </w:p>
              </w:tc>
              <w:tc>
                <w:tcPr>
                  <w:tcW w:w="1985" w:type="dxa"/>
                  <w:gridSpan w:val="2"/>
                  <w:vAlign w:val="center"/>
                </w:tcPr>
                <w:p w14:paraId="1C44773E" w14:textId="77777777" w:rsidR="00DA225C" w:rsidRPr="00FD0918" w:rsidRDefault="00DA225C" w:rsidP="00DA225C">
                  <w:pPr>
                    <w:keepLines/>
                    <w:widowControl w:val="0"/>
                    <w:jc w:val="center"/>
                    <w:rPr>
                      <w:sz w:val="16"/>
                      <w:szCs w:val="16"/>
                    </w:rPr>
                  </w:pPr>
                  <w:r w:rsidRPr="00FD0918">
                    <w:rPr>
                      <w:sz w:val="16"/>
                      <w:szCs w:val="16"/>
                    </w:rPr>
                    <w:t>У повному обсязі</w:t>
                  </w:r>
                </w:p>
              </w:tc>
            </w:tr>
            <w:tr w:rsidR="00DA225C" w:rsidRPr="00FD0918" w14:paraId="5A6F05B0" w14:textId="77777777" w:rsidTr="003059A5">
              <w:tc>
                <w:tcPr>
                  <w:tcW w:w="318" w:type="dxa"/>
                  <w:vAlign w:val="center"/>
                </w:tcPr>
                <w:p w14:paraId="3C26C900" w14:textId="77777777" w:rsidR="00DA225C" w:rsidRPr="00FD0918" w:rsidRDefault="00DA225C" w:rsidP="00DA225C">
                  <w:pPr>
                    <w:keepLines/>
                    <w:widowControl w:val="0"/>
                    <w:jc w:val="center"/>
                    <w:rPr>
                      <w:sz w:val="16"/>
                      <w:szCs w:val="16"/>
                    </w:rPr>
                  </w:pPr>
                  <w:r w:rsidRPr="00FD0918">
                    <w:rPr>
                      <w:sz w:val="16"/>
                      <w:szCs w:val="16"/>
                    </w:rPr>
                    <w:lastRenderedPageBreak/>
                    <w:t>16</w:t>
                  </w:r>
                </w:p>
              </w:tc>
              <w:tc>
                <w:tcPr>
                  <w:tcW w:w="2410" w:type="dxa"/>
                  <w:vAlign w:val="center"/>
                </w:tcPr>
                <w:p w14:paraId="36F9DBD8" w14:textId="69887CF4" w:rsidR="00DA225C" w:rsidRPr="00FD0918" w:rsidRDefault="00DA225C" w:rsidP="007E1EFB">
                  <w:pPr>
                    <w:pStyle w:val="ae"/>
                    <w:keepLines/>
                    <w:widowControl w:val="0"/>
                    <w:tabs>
                      <w:tab w:val="left" w:pos="316"/>
                    </w:tabs>
                    <w:ind w:left="0"/>
                    <w:rPr>
                      <w:sz w:val="16"/>
                      <w:szCs w:val="16"/>
                    </w:rPr>
                  </w:pPr>
                  <w:r w:rsidRPr="00FD0918">
                    <w:rPr>
                      <w:sz w:val="16"/>
                      <w:szCs w:val="16"/>
                    </w:rPr>
                    <w:t xml:space="preserve">технічні резерви за договорами вихідного перестрахування ризиків за класом страхування 13, </w:t>
                  </w:r>
                  <w:r w:rsidRPr="00FD0918">
                    <w:rPr>
                      <w:sz w:val="16"/>
                      <w:szCs w:val="16"/>
                      <w:lang w:eastAsia="en-US"/>
                    </w:rPr>
                    <w:t>укладеними ядерним страховим пулом та/або уповноваженою ним особою, яка діє від імені страховиків – членів ядерного страхового пулу</w:t>
                  </w:r>
                  <w:r w:rsidR="002A75CC">
                    <w:rPr>
                      <w:sz w:val="16"/>
                      <w:szCs w:val="16"/>
                      <w:lang w:eastAsia="en-US"/>
                    </w:rPr>
                    <w:t xml:space="preserve">, </w:t>
                  </w:r>
                  <w:r w:rsidR="002A75CC" w:rsidRPr="00D22D09">
                    <w:rPr>
                      <w:b/>
                      <w:sz w:val="16"/>
                      <w:szCs w:val="16"/>
                      <w:lang w:eastAsia="en-US"/>
                    </w:rPr>
                    <w:t>а також технічні резерв</w:t>
                  </w:r>
                  <w:r w:rsidR="007E1EFB">
                    <w:rPr>
                      <w:b/>
                      <w:sz w:val="16"/>
                      <w:szCs w:val="16"/>
                      <w:lang w:eastAsia="en-US"/>
                    </w:rPr>
                    <w:t>и</w:t>
                  </w:r>
                  <w:r w:rsidR="002A75CC" w:rsidRPr="00D22D09">
                    <w:rPr>
                      <w:b/>
                      <w:sz w:val="16"/>
                      <w:szCs w:val="16"/>
                      <w:lang w:eastAsia="en-US"/>
                    </w:rPr>
                    <w:t xml:space="preserve"> за договорами перестрахування воєнн</w:t>
                  </w:r>
                  <w:r w:rsidR="007E1EFB">
                    <w:rPr>
                      <w:b/>
                      <w:sz w:val="16"/>
                      <w:szCs w:val="16"/>
                      <w:lang w:eastAsia="en-US"/>
                    </w:rPr>
                    <w:t xml:space="preserve">их та </w:t>
                  </w:r>
                  <w:r w:rsidR="002A75CC" w:rsidRPr="00D22D09">
                    <w:rPr>
                      <w:b/>
                      <w:sz w:val="16"/>
                      <w:szCs w:val="16"/>
                      <w:lang w:eastAsia="en-US"/>
                    </w:rPr>
                    <w:t>політичних ризиків</w:t>
                  </w:r>
                </w:p>
              </w:tc>
              <w:tc>
                <w:tcPr>
                  <w:tcW w:w="1985" w:type="dxa"/>
                  <w:gridSpan w:val="2"/>
                  <w:vAlign w:val="center"/>
                </w:tcPr>
                <w:p w14:paraId="2A73B4F4" w14:textId="77777777" w:rsidR="00DA225C" w:rsidRPr="00FD0918" w:rsidRDefault="00DA225C" w:rsidP="00DA225C">
                  <w:pPr>
                    <w:keepLines/>
                    <w:widowControl w:val="0"/>
                    <w:jc w:val="center"/>
                    <w:rPr>
                      <w:sz w:val="16"/>
                      <w:szCs w:val="16"/>
                    </w:rPr>
                  </w:pPr>
                  <w:r w:rsidRPr="00FD0918">
                    <w:rPr>
                      <w:sz w:val="16"/>
                      <w:szCs w:val="16"/>
                    </w:rPr>
                    <w:t>У повному обсязі</w:t>
                  </w:r>
                </w:p>
              </w:tc>
              <w:tc>
                <w:tcPr>
                  <w:tcW w:w="1985" w:type="dxa"/>
                  <w:gridSpan w:val="2"/>
                  <w:vAlign w:val="center"/>
                </w:tcPr>
                <w:p w14:paraId="33F1B30F" w14:textId="77777777" w:rsidR="00DA225C" w:rsidRPr="00FD0918" w:rsidRDefault="00DA225C" w:rsidP="00DA225C">
                  <w:pPr>
                    <w:keepLines/>
                    <w:widowControl w:val="0"/>
                    <w:jc w:val="center"/>
                    <w:rPr>
                      <w:sz w:val="16"/>
                      <w:szCs w:val="16"/>
                    </w:rPr>
                  </w:pPr>
                  <w:r w:rsidRPr="00FD0918">
                    <w:rPr>
                      <w:sz w:val="16"/>
                      <w:szCs w:val="16"/>
                    </w:rPr>
                    <w:t>У повному обсязі</w:t>
                  </w:r>
                </w:p>
              </w:tc>
            </w:tr>
            <w:tr w:rsidR="00DA225C" w:rsidRPr="00FD0918" w14:paraId="65001D73" w14:textId="77777777" w:rsidTr="003059A5">
              <w:tc>
                <w:tcPr>
                  <w:tcW w:w="318" w:type="dxa"/>
                  <w:vAlign w:val="center"/>
                </w:tcPr>
                <w:p w14:paraId="703A1676" w14:textId="77777777" w:rsidR="00DA225C" w:rsidRPr="00FD0918" w:rsidRDefault="00DA225C" w:rsidP="00DA225C">
                  <w:pPr>
                    <w:keepLines/>
                    <w:widowControl w:val="0"/>
                    <w:jc w:val="center"/>
                    <w:rPr>
                      <w:sz w:val="16"/>
                      <w:szCs w:val="16"/>
                    </w:rPr>
                  </w:pPr>
                  <w:r w:rsidRPr="00FD0918">
                    <w:rPr>
                      <w:sz w:val="16"/>
                      <w:szCs w:val="16"/>
                    </w:rPr>
                    <w:t>17</w:t>
                  </w:r>
                </w:p>
              </w:tc>
              <w:tc>
                <w:tcPr>
                  <w:tcW w:w="2410" w:type="dxa"/>
                  <w:vAlign w:val="center"/>
                </w:tcPr>
                <w:p w14:paraId="7F7CB1C9" w14:textId="77777777" w:rsidR="00DA225C" w:rsidRPr="00FD0918" w:rsidRDefault="00DA225C" w:rsidP="00DA225C">
                  <w:pPr>
                    <w:pStyle w:val="ae"/>
                    <w:keepLines/>
                    <w:widowControl w:val="0"/>
                    <w:tabs>
                      <w:tab w:val="left" w:pos="316"/>
                    </w:tabs>
                    <w:ind w:left="0"/>
                    <w:rPr>
                      <w:sz w:val="16"/>
                      <w:szCs w:val="16"/>
                    </w:rPr>
                  </w:pPr>
                  <w:r w:rsidRPr="00FD0918">
                    <w:rPr>
                      <w:sz w:val="16"/>
                      <w:szCs w:val="16"/>
                    </w:rPr>
                    <w:t>інші технічні резерви за договорами вихідного перестрахування, крім зазначених у рядках 15, 16 таблиці додатка 1 до Положення:</w:t>
                  </w:r>
                </w:p>
              </w:tc>
              <w:tc>
                <w:tcPr>
                  <w:tcW w:w="1985" w:type="dxa"/>
                  <w:gridSpan w:val="2"/>
                  <w:vAlign w:val="center"/>
                </w:tcPr>
                <w:p w14:paraId="6DBD7536" w14:textId="77777777" w:rsidR="00DA225C" w:rsidRPr="00FD0918" w:rsidRDefault="00DA225C" w:rsidP="00DA225C">
                  <w:pPr>
                    <w:keepLines/>
                    <w:widowControl w:val="0"/>
                    <w:jc w:val="center"/>
                    <w:rPr>
                      <w:sz w:val="16"/>
                      <w:szCs w:val="16"/>
                    </w:rPr>
                  </w:pPr>
                  <w:r w:rsidRPr="00FD0918">
                    <w:rPr>
                      <w:sz w:val="16"/>
                      <w:szCs w:val="16"/>
                    </w:rPr>
                    <w:t>У повному обсязі</w:t>
                  </w:r>
                </w:p>
              </w:tc>
              <w:tc>
                <w:tcPr>
                  <w:tcW w:w="1985" w:type="dxa"/>
                  <w:gridSpan w:val="2"/>
                  <w:vAlign w:val="center"/>
                </w:tcPr>
                <w:p w14:paraId="184688F0" w14:textId="77777777" w:rsidR="00DA225C" w:rsidRPr="00FD0918" w:rsidRDefault="00DA225C" w:rsidP="00DA225C">
                  <w:pPr>
                    <w:keepLines/>
                    <w:widowControl w:val="0"/>
                    <w:ind w:firstLine="43"/>
                    <w:jc w:val="center"/>
                    <w:rPr>
                      <w:sz w:val="16"/>
                      <w:szCs w:val="16"/>
                    </w:rPr>
                  </w:pPr>
                  <w:r w:rsidRPr="00FD0918">
                    <w:rPr>
                      <w:sz w:val="16"/>
                      <w:szCs w:val="16"/>
                    </w:rPr>
                    <w:t>50% технічних резервів за відповідними класами страхування, із них:</w:t>
                  </w:r>
                </w:p>
              </w:tc>
            </w:tr>
            <w:tr w:rsidR="00DA225C" w:rsidRPr="00FD0918" w14:paraId="7F33B6E9" w14:textId="77777777" w:rsidTr="003059A5">
              <w:tc>
                <w:tcPr>
                  <w:tcW w:w="318" w:type="dxa"/>
                  <w:vAlign w:val="center"/>
                </w:tcPr>
                <w:p w14:paraId="5076C2CE" w14:textId="77777777" w:rsidR="00DA225C" w:rsidRPr="00FD0918" w:rsidRDefault="00DA225C" w:rsidP="00DA225C">
                  <w:pPr>
                    <w:keepLines/>
                    <w:widowControl w:val="0"/>
                    <w:jc w:val="center"/>
                    <w:rPr>
                      <w:sz w:val="16"/>
                      <w:szCs w:val="16"/>
                    </w:rPr>
                  </w:pPr>
                  <w:r w:rsidRPr="00FD0918">
                    <w:rPr>
                      <w:sz w:val="16"/>
                      <w:szCs w:val="16"/>
                    </w:rPr>
                    <w:t>18</w:t>
                  </w:r>
                </w:p>
              </w:tc>
              <w:tc>
                <w:tcPr>
                  <w:tcW w:w="2410" w:type="dxa"/>
                  <w:vAlign w:val="center"/>
                </w:tcPr>
                <w:p w14:paraId="771C469A" w14:textId="77777777" w:rsidR="00DA225C" w:rsidRPr="00FD0918" w:rsidRDefault="00DA225C" w:rsidP="00DA225C">
                  <w:pPr>
                    <w:keepLines/>
                    <w:widowControl w:val="0"/>
                    <w:tabs>
                      <w:tab w:val="left" w:pos="1134"/>
                    </w:tabs>
                    <w:rPr>
                      <w:sz w:val="16"/>
                      <w:szCs w:val="16"/>
                    </w:rPr>
                  </w:pPr>
                  <w:r w:rsidRPr="00FD0918">
                    <w:rPr>
                      <w:sz w:val="16"/>
                      <w:szCs w:val="16"/>
                    </w:rPr>
                    <w:t>з них технічні резерви</w:t>
                  </w:r>
                  <w:r w:rsidRPr="00FD0918">
                    <w:rPr>
                      <w:sz w:val="16"/>
                      <w:szCs w:val="16"/>
                      <w:lang w:eastAsia="en-US"/>
                    </w:rPr>
                    <w:t xml:space="preserve"> за договорами ви</w:t>
                  </w:r>
                  <w:r w:rsidRPr="00FD0918">
                    <w:rPr>
                      <w:sz w:val="16"/>
                      <w:szCs w:val="16"/>
                    </w:rPr>
                    <w:t xml:space="preserve">хідного перестрахування, укладеними з </w:t>
                  </w:r>
                  <w:proofErr w:type="spellStart"/>
                  <w:r w:rsidRPr="00FD0918">
                    <w:rPr>
                      <w:sz w:val="16"/>
                      <w:szCs w:val="16"/>
                    </w:rPr>
                    <w:t>перестраховиками</w:t>
                  </w:r>
                  <w:proofErr w:type="spellEnd"/>
                  <w:r w:rsidRPr="00FD0918">
                    <w:rPr>
                      <w:sz w:val="16"/>
                      <w:szCs w:val="16"/>
                    </w:rPr>
                    <w:t>-резидентами</w:t>
                  </w:r>
                </w:p>
              </w:tc>
              <w:tc>
                <w:tcPr>
                  <w:tcW w:w="1985" w:type="dxa"/>
                  <w:gridSpan w:val="2"/>
                  <w:vAlign w:val="center"/>
                </w:tcPr>
                <w:p w14:paraId="12CD861F" w14:textId="77777777" w:rsidR="00DA225C" w:rsidRPr="00FD0918" w:rsidRDefault="00DA225C" w:rsidP="00DA225C">
                  <w:pPr>
                    <w:keepLines/>
                    <w:widowControl w:val="0"/>
                    <w:jc w:val="center"/>
                    <w:rPr>
                      <w:sz w:val="16"/>
                      <w:szCs w:val="16"/>
                    </w:rPr>
                  </w:pPr>
                  <w:r w:rsidRPr="00FD0918">
                    <w:rPr>
                      <w:sz w:val="16"/>
                      <w:szCs w:val="16"/>
                    </w:rPr>
                    <w:t>У повному обсязі</w:t>
                  </w:r>
                </w:p>
              </w:tc>
              <w:tc>
                <w:tcPr>
                  <w:tcW w:w="1985" w:type="dxa"/>
                  <w:gridSpan w:val="2"/>
                  <w:vAlign w:val="center"/>
                </w:tcPr>
                <w:p w14:paraId="719F169F" w14:textId="77777777" w:rsidR="00DA225C" w:rsidRPr="00FD0918" w:rsidRDefault="00DA225C" w:rsidP="00DA225C">
                  <w:pPr>
                    <w:keepLines/>
                    <w:widowControl w:val="0"/>
                    <w:ind w:firstLine="43"/>
                    <w:jc w:val="center"/>
                    <w:rPr>
                      <w:sz w:val="16"/>
                      <w:szCs w:val="16"/>
                    </w:rPr>
                  </w:pPr>
                  <w:r w:rsidRPr="00FD0918">
                    <w:rPr>
                      <w:sz w:val="16"/>
                      <w:szCs w:val="16"/>
                    </w:rPr>
                    <w:t>10%</w:t>
                  </w:r>
                </w:p>
              </w:tc>
            </w:tr>
            <w:tr w:rsidR="00DA225C" w:rsidRPr="00FD0918" w14:paraId="148B58E3" w14:textId="77777777" w:rsidTr="003059A5">
              <w:tc>
                <w:tcPr>
                  <w:tcW w:w="318" w:type="dxa"/>
                  <w:vAlign w:val="center"/>
                </w:tcPr>
                <w:p w14:paraId="7DFD113C" w14:textId="77777777" w:rsidR="00DA225C" w:rsidRPr="00FD0918" w:rsidRDefault="00DA225C" w:rsidP="00DA225C">
                  <w:pPr>
                    <w:keepLines/>
                    <w:widowControl w:val="0"/>
                    <w:jc w:val="center"/>
                    <w:rPr>
                      <w:sz w:val="16"/>
                      <w:szCs w:val="16"/>
                    </w:rPr>
                  </w:pPr>
                  <w:r w:rsidRPr="00FD0918">
                    <w:rPr>
                      <w:sz w:val="16"/>
                      <w:szCs w:val="16"/>
                    </w:rPr>
                    <w:t>19</w:t>
                  </w:r>
                </w:p>
              </w:tc>
              <w:tc>
                <w:tcPr>
                  <w:tcW w:w="2410" w:type="dxa"/>
                  <w:vAlign w:val="center"/>
                </w:tcPr>
                <w:p w14:paraId="708B3017" w14:textId="77777777" w:rsidR="00DA225C" w:rsidRPr="00FD0918" w:rsidRDefault="00DA225C" w:rsidP="00DA225C">
                  <w:pPr>
                    <w:pStyle w:val="ae"/>
                    <w:keepLines/>
                    <w:widowControl w:val="0"/>
                    <w:tabs>
                      <w:tab w:val="left" w:pos="316"/>
                    </w:tabs>
                    <w:ind w:left="0"/>
                    <w:rPr>
                      <w:sz w:val="16"/>
                      <w:szCs w:val="16"/>
                    </w:rPr>
                  </w:pPr>
                  <w:r w:rsidRPr="00FD0918">
                    <w:rPr>
                      <w:sz w:val="16"/>
                      <w:szCs w:val="16"/>
                    </w:rPr>
                    <w:t>з них технічні резерви</w:t>
                  </w:r>
                  <w:r w:rsidRPr="00FD0918">
                    <w:rPr>
                      <w:sz w:val="16"/>
                      <w:szCs w:val="16"/>
                      <w:lang w:eastAsia="en-US"/>
                    </w:rPr>
                    <w:t xml:space="preserve"> за договорами ви</w:t>
                  </w:r>
                  <w:r w:rsidRPr="00FD0918">
                    <w:rPr>
                      <w:sz w:val="16"/>
                      <w:szCs w:val="16"/>
                    </w:rPr>
                    <w:t xml:space="preserve">хідного перестрахування, укладеними з </w:t>
                  </w:r>
                  <w:proofErr w:type="spellStart"/>
                  <w:r w:rsidRPr="00FD0918">
                    <w:rPr>
                      <w:sz w:val="16"/>
                      <w:szCs w:val="16"/>
                    </w:rPr>
                    <w:t>перестраховиками</w:t>
                  </w:r>
                  <w:proofErr w:type="spellEnd"/>
                  <w:r w:rsidRPr="00FD0918">
                    <w:rPr>
                      <w:sz w:val="16"/>
                      <w:szCs w:val="16"/>
                    </w:rPr>
                    <w:t>-нерезидентами</w:t>
                  </w:r>
                </w:p>
              </w:tc>
              <w:tc>
                <w:tcPr>
                  <w:tcW w:w="1985" w:type="dxa"/>
                  <w:gridSpan w:val="2"/>
                  <w:vAlign w:val="center"/>
                </w:tcPr>
                <w:p w14:paraId="26C0E7F4" w14:textId="77777777" w:rsidR="00DA225C" w:rsidRPr="00FD0918" w:rsidRDefault="00DA225C" w:rsidP="00DA225C">
                  <w:pPr>
                    <w:keepLines/>
                    <w:widowControl w:val="0"/>
                    <w:jc w:val="center"/>
                    <w:rPr>
                      <w:sz w:val="16"/>
                      <w:szCs w:val="16"/>
                    </w:rPr>
                  </w:pPr>
                  <w:r w:rsidRPr="00FD0918">
                    <w:rPr>
                      <w:sz w:val="16"/>
                      <w:szCs w:val="16"/>
                    </w:rPr>
                    <w:t>У повному обсязі</w:t>
                  </w:r>
                </w:p>
              </w:tc>
              <w:tc>
                <w:tcPr>
                  <w:tcW w:w="992" w:type="dxa"/>
                  <w:vAlign w:val="center"/>
                </w:tcPr>
                <w:p w14:paraId="518F5062" w14:textId="77777777" w:rsidR="00DA225C" w:rsidRPr="00FD0918" w:rsidRDefault="00DA225C" w:rsidP="00DA225C">
                  <w:pPr>
                    <w:keepLines/>
                    <w:widowControl w:val="0"/>
                    <w:ind w:firstLine="43"/>
                    <w:jc w:val="center"/>
                    <w:rPr>
                      <w:sz w:val="16"/>
                      <w:szCs w:val="16"/>
                    </w:rPr>
                  </w:pPr>
                  <w:r w:rsidRPr="00FD0918">
                    <w:rPr>
                      <w:sz w:val="16"/>
                      <w:szCs w:val="16"/>
                    </w:rPr>
                    <w:t>40%</w:t>
                  </w:r>
                </w:p>
              </w:tc>
              <w:tc>
                <w:tcPr>
                  <w:tcW w:w="993" w:type="dxa"/>
                  <w:vAlign w:val="center"/>
                </w:tcPr>
                <w:p w14:paraId="020BAA27" w14:textId="77777777" w:rsidR="00DA225C" w:rsidRPr="00FD0918" w:rsidRDefault="00DA225C" w:rsidP="00DA225C">
                  <w:pPr>
                    <w:keepLines/>
                    <w:widowControl w:val="0"/>
                    <w:ind w:firstLine="43"/>
                    <w:jc w:val="center"/>
                    <w:rPr>
                      <w:sz w:val="16"/>
                      <w:szCs w:val="16"/>
                    </w:rPr>
                  </w:pPr>
                  <w:r w:rsidRPr="00FD0918">
                    <w:rPr>
                      <w:sz w:val="16"/>
                      <w:szCs w:val="16"/>
                    </w:rPr>
                    <w:t>У межах обсягу, визначеного в колонках 5, 6 рядка 17 таблиці додатка 1 до Положення</w:t>
                  </w:r>
                </w:p>
              </w:tc>
            </w:tr>
            <w:tr w:rsidR="003059A5" w:rsidRPr="00FD0918" w14:paraId="13A505B0" w14:textId="77777777" w:rsidTr="003059A5">
              <w:tc>
                <w:tcPr>
                  <w:tcW w:w="318" w:type="dxa"/>
                  <w:vAlign w:val="center"/>
                </w:tcPr>
                <w:p w14:paraId="40DDB138" w14:textId="2CE68DDF" w:rsidR="003059A5" w:rsidRPr="00D22D09" w:rsidRDefault="003059A5" w:rsidP="003059A5">
                  <w:pPr>
                    <w:keepLines/>
                    <w:widowControl w:val="0"/>
                    <w:jc w:val="center"/>
                    <w:rPr>
                      <w:sz w:val="16"/>
                      <w:szCs w:val="16"/>
                    </w:rPr>
                  </w:pPr>
                  <w:r w:rsidRPr="00D22D09">
                    <w:rPr>
                      <w:sz w:val="16"/>
                      <w:szCs w:val="16"/>
                    </w:rPr>
                    <w:t>2</w:t>
                  </w:r>
                  <w:r w:rsidR="002A75CC" w:rsidRPr="00D22D09">
                    <w:rPr>
                      <w:sz w:val="16"/>
                      <w:szCs w:val="16"/>
                    </w:rPr>
                    <w:t>0</w:t>
                  </w:r>
                </w:p>
              </w:tc>
              <w:tc>
                <w:tcPr>
                  <w:tcW w:w="2410" w:type="dxa"/>
                  <w:vAlign w:val="center"/>
                </w:tcPr>
                <w:p w14:paraId="13E47708" w14:textId="77777777" w:rsidR="003059A5" w:rsidRPr="00FD0918" w:rsidRDefault="003059A5" w:rsidP="003059A5">
                  <w:pPr>
                    <w:keepLines/>
                    <w:widowControl w:val="0"/>
                    <w:tabs>
                      <w:tab w:val="left" w:pos="1134"/>
                    </w:tabs>
                    <w:rPr>
                      <w:sz w:val="16"/>
                      <w:szCs w:val="16"/>
                    </w:rPr>
                  </w:pPr>
                  <w:r w:rsidRPr="00FD0918">
                    <w:rPr>
                      <w:sz w:val="16"/>
                      <w:szCs w:val="16"/>
                    </w:rPr>
                    <w:t>Кредити страхувальникам ‒ фізичним особам, що відповідають вимогам законодавства України, яке встановлює порядок та умови видачі страховиком таких кредитів</w:t>
                  </w:r>
                </w:p>
              </w:tc>
              <w:tc>
                <w:tcPr>
                  <w:tcW w:w="992" w:type="dxa"/>
                  <w:vAlign w:val="center"/>
                </w:tcPr>
                <w:p w14:paraId="3EB71E89" w14:textId="77777777" w:rsidR="003059A5" w:rsidRPr="00FD0918" w:rsidRDefault="003059A5" w:rsidP="003059A5">
                  <w:pPr>
                    <w:keepLines/>
                    <w:widowControl w:val="0"/>
                    <w:ind w:firstLine="43"/>
                    <w:jc w:val="center"/>
                    <w:rPr>
                      <w:sz w:val="16"/>
                      <w:szCs w:val="16"/>
                    </w:rPr>
                  </w:pPr>
                  <w:r w:rsidRPr="00FD0918">
                    <w:rPr>
                      <w:sz w:val="16"/>
                      <w:szCs w:val="16"/>
                    </w:rPr>
                    <w:t>У повному обсязі</w:t>
                  </w:r>
                </w:p>
              </w:tc>
              <w:tc>
                <w:tcPr>
                  <w:tcW w:w="993" w:type="dxa"/>
                  <w:vAlign w:val="center"/>
                </w:tcPr>
                <w:p w14:paraId="121B4331" w14:textId="77777777" w:rsidR="003059A5" w:rsidRPr="00FD0918" w:rsidRDefault="003059A5" w:rsidP="003059A5">
                  <w:pPr>
                    <w:keepLines/>
                    <w:widowControl w:val="0"/>
                    <w:ind w:firstLine="43"/>
                    <w:jc w:val="center"/>
                    <w:rPr>
                      <w:sz w:val="16"/>
                      <w:szCs w:val="16"/>
                    </w:rPr>
                  </w:pPr>
                  <w:r w:rsidRPr="00FD0918">
                    <w:rPr>
                      <w:sz w:val="16"/>
                      <w:szCs w:val="16"/>
                    </w:rPr>
                    <w:t>Не застосовується</w:t>
                  </w:r>
                </w:p>
              </w:tc>
              <w:tc>
                <w:tcPr>
                  <w:tcW w:w="992" w:type="dxa"/>
                  <w:vAlign w:val="center"/>
                </w:tcPr>
                <w:p w14:paraId="3AED64F9" w14:textId="77777777" w:rsidR="003059A5" w:rsidRPr="00FD0918" w:rsidRDefault="003059A5" w:rsidP="003059A5">
                  <w:pPr>
                    <w:keepLines/>
                    <w:widowControl w:val="0"/>
                    <w:ind w:firstLine="43"/>
                    <w:jc w:val="center"/>
                    <w:rPr>
                      <w:sz w:val="16"/>
                      <w:szCs w:val="16"/>
                    </w:rPr>
                  </w:pPr>
                  <w:r w:rsidRPr="00FD0918">
                    <w:rPr>
                      <w:sz w:val="16"/>
                      <w:szCs w:val="16"/>
                    </w:rPr>
                    <w:t>20%</w:t>
                  </w:r>
                </w:p>
              </w:tc>
              <w:tc>
                <w:tcPr>
                  <w:tcW w:w="993" w:type="dxa"/>
                  <w:vAlign w:val="center"/>
                </w:tcPr>
                <w:p w14:paraId="40478ACF" w14:textId="77777777" w:rsidR="003059A5" w:rsidRPr="00FD0918" w:rsidRDefault="003059A5" w:rsidP="003059A5">
                  <w:pPr>
                    <w:keepLines/>
                    <w:widowControl w:val="0"/>
                    <w:ind w:firstLine="43"/>
                    <w:jc w:val="center"/>
                    <w:rPr>
                      <w:sz w:val="16"/>
                      <w:szCs w:val="16"/>
                    </w:rPr>
                  </w:pPr>
                  <w:r w:rsidRPr="00FD0918">
                    <w:rPr>
                      <w:sz w:val="16"/>
                      <w:szCs w:val="16"/>
                    </w:rPr>
                    <w:t>Не застосовується</w:t>
                  </w:r>
                </w:p>
              </w:tc>
            </w:tr>
            <w:tr w:rsidR="003059A5" w:rsidRPr="00FD0918" w14:paraId="01717777" w14:textId="77777777" w:rsidTr="003059A5">
              <w:tc>
                <w:tcPr>
                  <w:tcW w:w="318" w:type="dxa"/>
                  <w:vAlign w:val="center"/>
                </w:tcPr>
                <w:p w14:paraId="3CD7E649" w14:textId="23DD5EFB" w:rsidR="003059A5" w:rsidRPr="00D22D09" w:rsidRDefault="003059A5" w:rsidP="003059A5">
                  <w:pPr>
                    <w:keepLines/>
                    <w:widowControl w:val="0"/>
                    <w:jc w:val="center"/>
                    <w:rPr>
                      <w:sz w:val="16"/>
                      <w:szCs w:val="16"/>
                    </w:rPr>
                  </w:pPr>
                  <w:r w:rsidRPr="00D22D09">
                    <w:rPr>
                      <w:sz w:val="16"/>
                      <w:szCs w:val="16"/>
                    </w:rPr>
                    <w:t>2</w:t>
                  </w:r>
                  <w:r w:rsidR="002A75CC" w:rsidRPr="00D22D09">
                    <w:rPr>
                      <w:sz w:val="16"/>
                      <w:szCs w:val="16"/>
                    </w:rPr>
                    <w:t>1</w:t>
                  </w:r>
                </w:p>
              </w:tc>
              <w:tc>
                <w:tcPr>
                  <w:tcW w:w="2410" w:type="dxa"/>
                  <w:vAlign w:val="center"/>
                </w:tcPr>
                <w:p w14:paraId="41AA64F2" w14:textId="77777777" w:rsidR="003059A5" w:rsidRPr="00FD0918" w:rsidRDefault="003059A5" w:rsidP="003059A5">
                  <w:pPr>
                    <w:keepLines/>
                    <w:widowControl w:val="0"/>
                    <w:tabs>
                      <w:tab w:val="left" w:pos="1134"/>
                    </w:tabs>
                    <w:rPr>
                      <w:sz w:val="16"/>
                      <w:szCs w:val="16"/>
                    </w:rPr>
                  </w:pPr>
                  <w:r w:rsidRPr="00FD0918">
                    <w:rPr>
                      <w:sz w:val="16"/>
                      <w:szCs w:val="16"/>
                    </w:rPr>
                    <w:t>Готівка в касі</w:t>
                  </w:r>
                </w:p>
              </w:tc>
              <w:tc>
                <w:tcPr>
                  <w:tcW w:w="1985" w:type="dxa"/>
                  <w:gridSpan w:val="2"/>
                  <w:vAlign w:val="center"/>
                </w:tcPr>
                <w:p w14:paraId="40EF7D5E" w14:textId="77777777" w:rsidR="003059A5" w:rsidRPr="00FD0918" w:rsidRDefault="003059A5" w:rsidP="003059A5">
                  <w:pPr>
                    <w:keepLines/>
                    <w:widowControl w:val="0"/>
                    <w:ind w:firstLine="43"/>
                    <w:jc w:val="center"/>
                    <w:rPr>
                      <w:sz w:val="16"/>
                      <w:szCs w:val="16"/>
                    </w:rPr>
                  </w:pPr>
                  <w:r w:rsidRPr="00FD0918">
                    <w:rPr>
                      <w:sz w:val="16"/>
                      <w:szCs w:val="16"/>
                    </w:rPr>
                    <w:t>3%</w:t>
                  </w:r>
                </w:p>
              </w:tc>
              <w:tc>
                <w:tcPr>
                  <w:tcW w:w="1985" w:type="dxa"/>
                  <w:gridSpan w:val="2"/>
                  <w:vAlign w:val="center"/>
                </w:tcPr>
                <w:p w14:paraId="3EA956BD" w14:textId="77777777" w:rsidR="003059A5" w:rsidRPr="00FD0918" w:rsidRDefault="003059A5" w:rsidP="003059A5">
                  <w:pPr>
                    <w:keepLines/>
                    <w:widowControl w:val="0"/>
                    <w:ind w:firstLine="43"/>
                    <w:jc w:val="center"/>
                    <w:rPr>
                      <w:sz w:val="16"/>
                      <w:szCs w:val="16"/>
                    </w:rPr>
                  </w:pPr>
                  <w:r w:rsidRPr="00FD0918">
                    <w:rPr>
                      <w:sz w:val="16"/>
                      <w:szCs w:val="16"/>
                    </w:rPr>
                    <w:t>3%</w:t>
                  </w:r>
                </w:p>
              </w:tc>
            </w:tr>
            <w:tr w:rsidR="003059A5" w:rsidRPr="00FD0918" w14:paraId="4B048814" w14:textId="77777777" w:rsidTr="003059A5">
              <w:tc>
                <w:tcPr>
                  <w:tcW w:w="318" w:type="dxa"/>
                  <w:vAlign w:val="center"/>
                </w:tcPr>
                <w:p w14:paraId="7900CBCC" w14:textId="7E919B25" w:rsidR="003059A5" w:rsidRPr="00D22D09" w:rsidRDefault="003059A5" w:rsidP="003059A5">
                  <w:pPr>
                    <w:keepLines/>
                    <w:widowControl w:val="0"/>
                    <w:jc w:val="center"/>
                    <w:rPr>
                      <w:sz w:val="16"/>
                      <w:szCs w:val="16"/>
                    </w:rPr>
                  </w:pPr>
                  <w:r w:rsidRPr="00D22D09">
                    <w:rPr>
                      <w:sz w:val="16"/>
                      <w:szCs w:val="16"/>
                    </w:rPr>
                    <w:lastRenderedPageBreak/>
                    <w:t>2</w:t>
                  </w:r>
                  <w:r w:rsidR="002A75CC" w:rsidRPr="00D22D09">
                    <w:rPr>
                      <w:sz w:val="16"/>
                      <w:szCs w:val="16"/>
                    </w:rPr>
                    <w:t>2</w:t>
                  </w:r>
                </w:p>
              </w:tc>
              <w:tc>
                <w:tcPr>
                  <w:tcW w:w="2410" w:type="dxa"/>
                  <w:vAlign w:val="center"/>
                </w:tcPr>
                <w:p w14:paraId="2E973A76" w14:textId="4DD3E251" w:rsidR="003059A5" w:rsidRPr="00FD0918" w:rsidRDefault="00ED0321" w:rsidP="009E6871">
                  <w:pPr>
                    <w:keepLines/>
                    <w:widowControl w:val="0"/>
                    <w:tabs>
                      <w:tab w:val="left" w:pos="1134"/>
                    </w:tabs>
                    <w:rPr>
                      <w:sz w:val="16"/>
                      <w:szCs w:val="16"/>
                    </w:rPr>
                  </w:pPr>
                  <w:r w:rsidRPr="009C7149">
                    <w:rPr>
                      <w:b/>
                      <w:sz w:val="16"/>
                      <w:szCs w:val="16"/>
                    </w:rPr>
                    <w:t>К</w:t>
                  </w:r>
                  <w:r w:rsidR="003059A5" w:rsidRPr="009C7149">
                    <w:rPr>
                      <w:b/>
                      <w:sz w:val="16"/>
                      <w:szCs w:val="16"/>
                    </w:rPr>
                    <w:t>ошт</w:t>
                  </w:r>
                  <w:r w:rsidRPr="009C7149">
                    <w:rPr>
                      <w:b/>
                      <w:sz w:val="16"/>
                      <w:szCs w:val="16"/>
                    </w:rPr>
                    <w:t>и</w:t>
                  </w:r>
                  <w:r w:rsidR="003059A5" w:rsidRPr="00FD0918">
                    <w:rPr>
                      <w:sz w:val="16"/>
                      <w:szCs w:val="16"/>
                    </w:rPr>
                    <w:t xml:space="preserve"> централізованих страхових резервних фондів</w:t>
                  </w:r>
                  <w:r w:rsidR="009A3FE2">
                    <w:rPr>
                      <w:sz w:val="16"/>
                      <w:szCs w:val="16"/>
                    </w:rPr>
                    <w:t xml:space="preserve"> </w:t>
                  </w:r>
                  <w:r w:rsidR="009A3FE2" w:rsidRPr="009A3FE2">
                    <w:rPr>
                      <w:b/>
                      <w:sz w:val="16"/>
                      <w:szCs w:val="16"/>
                    </w:rPr>
                    <w:t>МТСБУ</w:t>
                  </w:r>
                  <w:r w:rsidR="005C16EA" w:rsidRPr="00103258">
                    <w:rPr>
                      <w:sz w:val="16"/>
                      <w:szCs w:val="16"/>
                    </w:rPr>
                    <w:t xml:space="preserve">, </w:t>
                  </w:r>
                  <w:r w:rsidR="005C16EA" w:rsidRPr="009C7149">
                    <w:rPr>
                      <w:b/>
                      <w:sz w:val="16"/>
                      <w:szCs w:val="16"/>
                    </w:rPr>
                    <w:t>що обліковуються за страховиком у таких фондах</w:t>
                  </w:r>
                  <w:r w:rsidR="005C16EA" w:rsidRPr="00103258">
                    <w:rPr>
                      <w:sz w:val="16"/>
                      <w:szCs w:val="16"/>
                    </w:rPr>
                    <w:t xml:space="preserve"> </w:t>
                  </w:r>
                  <w:r w:rsidR="003059A5" w:rsidRPr="00FD0918">
                    <w:rPr>
                      <w:sz w:val="16"/>
                      <w:szCs w:val="16"/>
                    </w:rPr>
                    <w:t>відповідно до Закону про обов’язкове страхування</w:t>
                  </w:r>
                  <w:r w:rsidR="009E6871" w:rsidRPr="009E6871">
                    <w:rPr>
                      <w:b/>
                      <w:sz w:val="16"/>
                      <w:szCs w:val="16"/>
                    </w:rPr>
                    <w:t xml:space="preserve">, </w:t>
                  </w:r>
                  <w:r w:rsidR="009E6871">
                    <w:rPr>
                      <w:b/>
                      <w:sz w:val="16"/>
                      <w:szCs w:val="16"/>
                    </w:rPr>
                    <w:t>а також кошти</w:t>
                  </w:r>
                  <w:r w:rsidR="009E6871" w:rsidRPr="009E6871">
                    <w:rPr>
                      <w:b/>
                      <w:sz w:val="16"/>
                      <w:szCs w:val="16"/>
                    </w:rPr>
                    <w:t>, що підлягають поверненню страховику з централізованих страхових резервних фондів МТСБУ</w:t>
                  </w:r>
                </w:p>
              </w:tc>
              <w:tc>
                <w:tcPr>
                  <w:tcW w:w="992" w:type="dxa"/>
                  <w:vAlign w:val="center"/>
                </w:tcPr>
                <w:p w14:paraId="7AAA8EB7" w14:textId="77777777" w:rsidR="003059A5" w:rsidRPr="00FD0918" w:rsidRDefault="003059A5" w:rsidP="003059A5">
                  <w:pPr>
                    <w:keepLines/>
                    <w:widowControl w:val="0"/>
                    <w:ind w:firstLine="43"/>
                    <w:jc w:val="center"/>
                    <w:rPr>
                      <w:sz w:val="16"/>
                      <w:szCs w:val="16"/>
                    </w:rPr>
                  </w:pPr>
                  <w:r w:rsidRPr="00FD0918">
                    <w:rPr>
                      <w:sz w:val="16"/>
                      <w:szCs w:val="16"/>
                    </w:rPr>
                    <w:t xml:space="preserve">Не </w:t>
                  </w:r>
                  <w:proofErr w:type="spellStart"/>
                  <w:r w:rsidRPr="00FD0918">
                    <w:rPr>
                      <w:sz w:val="16"/>
                      <w:szCs w:val="16"/>
                    </w:rPr>
                    <w:t>застосо-вується</w:t>
                  </w:r>
                  <w:proofErr w:type="spellEnd"/>
                </w:p>
              </w:tc>
              <w:tc>
                <w:tcPr>
                  <w:tcW w:w="993" w:type="dxa"/>
                  <w:vAlign w:val="center"/>
                </w:tcPr>
                <w:p w14:paraId="7C31F81D" w14:textId="77777777" w:rsidR="003059A5" w:rsidRPr="00FD0918" w:rsidRDefault="003059A5" w:rsidP="003059A5">
                  <w:pPr>
                    <w:keepLines/>
                    <w:widowControl w:val="0"/>
                    <w:ind w:firstLine="43"/>
                    <w:jc w:val="center"/>
                    <w:rPr>
                      <w:sz w:val="16"/>
                      <w:szCs w:val="16"/>
                    </w:rPr>
                  </w:pPr>
                  <w:r w:rsidRPr="00FD0918">
                    <w:rPr>
                      <w:sz w:val="16"/>
                      <w:szCs w:val="16"/>
                    </w:rPr>
                    <w:t>У повному обсязі</w:t>
                  </w:r>
                </w:p>
              </w:tc>
              <w:tc>
                <w:tcPr>
                  <w:tcW w:w="992" w:type="dxa"/>
                  <w:vAlign w:val="center"/>
                </w:tcPr>
                <w:p w14:paraId="240877A2" w14:textId="77777777" w:rsidR="003059A5" w:rsidRPr="00FD0918" w:rsidRDefault="003059A5" w:rsidP="003059A5">
                  <w:pPr>
                    <w:keepLines/>
                    <w:widowControl w:val="0"/>
                    <w:ind w:firstLine="43"/>
                    <w:jc w:val="center"/>
                    <w:rPr>
                      <w:sz w:val="16"/>
                      <w:szCs w:val="16"/>
                    </w:rPr>
                  </w:pPr>
                  <w:r w:rsidRPr="00FD0918">
                    <w:rPr>
                      <w:sz w:val="16"/>
                      <w:szCs w:val="16"/>
                    </w:rPr>
                    <w:t xml:space="preserve">Не </w:t>
                  </w:r>
                  <w:proofErr w:type="spellStart"/>
                  <w:r w:rsidRPr="00FD0918">
                    <w:rPr>
                      <w:sz w:val="16"/>
                      <w:szCs w:val="16"/>
                    </w:rPr>
                    <w:t>застосо-вується</w:t>
                  </w:r>
                  <w:proofErr w:type="spellEnd"/>
                </w:p>
              </w:tc>
              <w:tc>
                <w:tcPr>
                  <w:tcW w:w="993" w:type="dxa"/>
                  <w:vAlign w:val="center"/>
                </w:tcPr>
                <w:p w14:paraId="73E24882" w14:textId="549E0D26" w:rsidR="003059A5" w:rsidRPr="00FD0918" w:rsidRDefault="00E2498D" w:rsidP="003059A5">
                  <w:pPr>
                    <w:keepLines/>
                    <w:widowControl w:val="0"/>
                    <w:ind w:firstLine="43"/>
                    <w:jc w:val="center"/>
                    <w:rPr>
                      <w:sz w:val="16"/>
                      <w:szCs w:val="16"/>
                    </w:rPr>
                  </w:pPr>
                  <w:r>
                    <w:rPr>
                      <w:sz w:val="16"/>
                      <w:szCs w:val="16"/>
                    </w:rPr>
                    <w:t xml:space="preserve">Відповідно до пункту 72 глави 12 розділу </w:t>
                  </w:r>
                  <w:r>
                    <w:rPr>
                      <w:sz w:val="16"/>
                      <w:szCs w:val="16"/>
                      <w:lang w:val="en-US"/>
                    </w:rPr>
                    <w:t>V</w:t>
                  </w:r>
                  <w:r>
                    <w:rPr>
                      <w:sz w:val="16"/>
                      <w:szCs w:val="16"/>
                    </w:rPr>
                    <w:t xml:space="preserve"> Положення</w:t>
                  </w:r>
                </w:p>
              </w:tc>
            </w:tr>
            <w:tr w:rsidR="003059A5" w:rsidRPr="00FD0918" w14:paraId="0EE453BB" w14:textId="77777777" w:rsidTr="003059A5">
              <w:tc>
                <w:tcPr>
                  <w:tcW w:w="318" w:type="dxa"/>
                  <w:vAlign w:val="center"/>
                </w:tcPr>
                <w:p w14:paraId="07E553FE" w14:textId="32F9E416" w:rsidR="003059A5" w:rsidRPr="00D22D09" w:rsidRDefault="003059A5" w:rsidP="003059A5">
                  <w:pPr>
                    <w:keepLines/>
                    <w:widowControl w:val="0"/>
                    <w:jc w:val="center"/>
                    <w:rPr>
                      <w:sz w:val="16"/>
                      <w:szCs w:val="16"/>
                    </w:rPr>
                  </w:pPr>
                  <w:r w:rsidRPr="00D22D09">
                    <w:rPr>
                      <w:sz w:val="16"/>
                      <w:szCs w:val="16"/>
                    </w:rPr>
                    <w:t>2</w:t>
                  </w:r>
                  <w:r w:rsidR="002A75CC" w:rsidRPr="00D22D09">
                    <w:rPr>
                      <w:sz w:val="16"/>
                      <w:szCs w:val="16"/>
                    </w:rPr>
                    <w:t>3</w:t>
                  </w:r>
                </w:p>
              </w:tc>
              <w:tc>
                <w:tcPr>
                  <w:tcW w:w="2410" w:type="dxa"/>
                  <w:vAlign w:val="center"/>
                </w:tcPr>
                <w:p w14:paraId="03D3D9E5" w14:textId="77777777" w:rsidR="003059A5" w:rsidRPr="00FD0918" w:rsidRDefault="003059A5" w:rsidP="003059A5">
                  <w:pPr>
                    <w:keepLines/>
                    <w:widowControl w:val="0"/>
                    <w:tabs>
                      <w:tab w:val="left" w:pos="1134"/>
                    </w:tabs>
                    <w:rPr>
                      <w:sz w:val="16"/>
                      <w:szCs w:val="16"/>
                    </w:rPr>
                  </w:pPr>
                  <w:r w:rsidRPr="00FD0918">
                    <w:rPr>
                      <w:sz w:val="16"/>
                      <w:szCs w:val="16"/>
                    </w:rPr>
                    <w:t>Непрострочена дебіторська заборгованість</w:t>
                  </w:r>
                </w:p>
              </w:tc>
              <w:tc>
                <w:tcPr>
                  <w:tcW w:w="1985" w:type="dxa"/>
                  <w:gridSpan w:val="2"/>
                  <w:vAlign w:val="center"/>
                </w:tcPr>
                <w:p w14:paraId="715AD684" w14:textId="77777777" w:rsidR="003059A5" w:rsidRPr="00FD0918" w:rsidRDefault="003059A5" w:rsidP="003059A5">
                  <w:pPr>
                    <w:keepLines/>
                    <w:widowControl w:val="0"/>
                    <w:ind w:firstLine="43"/>
                    <w:jc w:val="center"/>
                    <w:rPr>
                      <w:sz w:val="16"/>
                      <w:szCs w:val="16"/>
                    </w:rPr>
                  </w:pPr>
                  <w:r w:rsidRPr="00FD0918">
                    <w:rPr>
                      <w:sz w:val="16"/>
                      <w:szCs w:val="16"/>
                    </w:rPr>
                    <w:t>У повному обсязі</w:t>
                  </w:r>
                </w:p>
              </w:tc>
              <w:tc>
                <w:tcPr>
                  <w:tcW w:w="1985" w:type="dxa"/>
                  <w:gridSpan w:val="2"/>
                  <w:vAlign w:val="center"/>
                </w:tcPr>
                <w:p w14:paraId="44E48C3A" w14:textId="77777777" w:rsidR="003059A5" w:rsidRPr="00FD0918" w:rsidRDefault="003059A5" w:rsidP="003059A5">
                  <w:pPr>
                    <w:keepLines/>
                    <w:widowControl w:val="0"/>
                    <w:ind w:firstLine="43"/>
                    <w:jc w:val="center"/>
                    <w:rPr>
                      <w:sz w:val="16"/>
                      <w:szCs w:val="16"/>
                    </w:rPr>
                  </w:pPr>
                  <w:r w:rsidRPr="00FD0918">
                    <w:rPr>
                      <w:sz w:val="16"/>
                      <w:szCs w:val="16"/>
                    </w:rPr>
                    <w:t>0%</w:t>
                  </w:r>
                </w:p>
              </w:tc>
            </w:tr>
            <w:tr w:rsidR="003059A5" w:rsidRPr="00FD0918" w14:paraId="177D6EAB" w14:textId="77777777" w:rsidTr="003059A5">
              <w:tc>
                <w:tcPr>
                  <w:tcW w:w="318" w:type="dxa"/>
                  <w:tcBorders>
                    <w:bottom w:val="single" w:sz="4" w:space="0" w:color="auto"/>
                  </w:tcBorders>
                  <w:vAlign w:val="center"/>
                </w:tcPr>
                <w:p w14:paraId="686CEB6C" w14:textId="37AFED65" w:rsidR="003059A5" w:rsidRPr="00D22D09" w:rsidRDefault="003059A5" w:rsidP="003059A5">
                  <w:pPr>
                    <w:keepLines/>
                    <w:widowControl w:val="0"/>
                    <w:jc w:val="center"/>
                    <w:rPr>
                      <w:sz w:val="16"/>
                      <w:szCs w:val="16"/>
                    </w:rPr>
                  </w:pPr>
                  <w:r w:rsidRPr="00D22D09">
                    <w:rPr>
                      <w:sz w:val="16"/>
                      <w:szCs w:val="16"/>
                    </w:rPr>
                    <w:t>2</w:t>
                  </w:r>
                  <w:r w:rsidR="002A75CC" w:rsidRPr="00D22D09">
                    <w:rPr>
                      <w:sz w:val="16"/>
                      <w:szCs w:val="16"/>
                    </w:rPr>
                    <w:t>4</w:t>
                  </w:r>
                </w:p>
              </w:tc>
              <w:tc>
                <w:tcPr>
                  <w:tcW w:w="2410" w:type="dxa"/>
                  <w:tcBorders>
                    <w:bottom w:val="single" w:sz="4" w:space="0" w:color="auto"/>
                  </w:tcBorders>
                  <w:vAlign w:val="center"/>
                </w:tcPr>
                <w:p w14:paraId="35907ACE" w14:textId="77777777" w:rsidR="003059A5" w:rsidRPr="00FD0918" w:rsidRDefault="003059A5" w:rsidP="003059A5">
                  <w:pPr>
                    <w:keepLines/>
                    <w:widowControl w:val="0"/>
                    <w:tabs>
                      <w:tab w:val="left" w:pos="1134"/>
                    </w:tabs>
                    <w:rPr>
                      <w:sz w:val="16"/>
                      <w:szCs w:val="16"/>
                    </w:rPr>
                  </w:pPr>
                  <w:r w:rsidRPr="00FD0918">
                    <w:rPr>
                      <w:sz w:val="16"/>
                      <w:szCs w:val="16"/>
                    </w:rPr>
                    <w:t>Активи з права користування відповідно до Міжнародного стандарту фінансової звітності 16 “Оренда”</w:t>
                  </w:r>
                </w:p>
              </w:tc>
              <w:tc>
                <w:tcPr>
                  <w:tcW w:w="1985" w:type="dxa"/>
                  <w:gridSpan w:val="2"/>
                  <w:tcBorders>
                    <w:bottom w:val="single" w:sz="4" w:space="0" w:color="auto"/>
                  </w:tcBorders>
                  <w:vAlign w:val="center"/>
                </w:tcPr>
                <w:p w14:paraId="02C4123F" w14:textId="77777777" w:rsidR="003059A5" w:rsidRPr="00FD0918" w:rsidRDefault="003059A5" w:rsidP="003059A5">
                  <w:pPr>
                    <w:keepLines/>
                    <w:widowControl w:val="0"/>
                    <w:ind w:firstLine="43"/>
                    <w:jc w:val="center"/>
                    <w:rPr>
                      <w:sz w:val="16"/>
                      <w:szCs w:val="16"/>
                    </w:rPr>
                  </w:pPr>
                  <w:r w:rsidRPr="00FD0918">
                    <w:rPr>
                      <w:sz w:val="16"/>
                      <w:szCs w:val="16"/>
                    </w:rPr>
                    <w:t>У повному обсязі</w:t>
                  </w:r>
                </w:p>
              </w:tc>
              <w:tc>
                <w:tcPr>
                  <w:tcW w:w="1985" w:type="dxa"/>
                  <w:gridSpan w:val="2"/>
                  <w:tcBorders>
                    <w:bottom w:val="single" w:sz="4" w:space="0" w:color="auto"/>
                  </w:tcBorders>
                  <w:vAlign w:val="center"/>
                </w:tcPr>
                <w:p w14:paraId="36FCB375" w14:textId="77777777" w:rsidR="003059A5" w:rsidRPr="00FD0918" w:rsidRDefault="003059A5" w:rsidP="003059A5">
                  <w:pPr>
                    <w:keepLines/>
                    <w:widowControl w:val="0"/>
                    <w:ind w:firstLine="43"/>
                    <w:jc w:val="center"/>
                    <w:rPr>
                      <w:sz w:val="16"/>
                      <w:szCs w:val="16"/>
                    </w:rPr>
                  </w:pPr>
                  <w:r w:rsidRPr="00FD0918">
                    <w:rPr>
                      <w:sz w:val="16"/>
                      <w:szCs w:val="16"/>
                    </w:rPr>
                    <w:t>0%</w:t>
                  </w:r>
                </w:p>
              </w:tc>
            </w:tr>
          </w:tbl>
          <w:p w14:paraId="5549EE21" w14:textId="77777777" w:rsidR="00DA225C" w:rsidRPr="00B73144" w:rsidRDefault="00DA225C" w:rsidP="00DA225C">
            <w:pPr>
              <w:pStyle w:val="rvps2"/>
              <w:shd w:val="clear" w:color="auto" w:fill="FFFFFF"/>
              <w:spacing w:before="0" w:beforeAutospacing="0" w:after="0" w:afterAutospacing="0"/>
              <w:ind w:firstLine="448"/>
              <w:jc w:val="both"/>
              <w:rPr>
                <w:color w:val="000000" w:themeColor="text1"/>
                <w:sz w:val="28"/>
                <w:szCs w:val="28"/>
              </w:rPr>
            </w:pPr>
          </w:p>
        </w:tc>
      </w:tr>
    </w:tbl>
    <w:p w14:paraId="00748B92" w14:textId="77777777" w:rsidR="00530CFB" w:rsidRPr="00B73144" w:rsidRDefault="00530CFB" w:rsidP="00B5282C">
      <w:pPr>
        <w:pStyle w:val="a4"/>
        <w:spacing w:before="0" w:beforeAutospacing="0" w:after="0" w:afterAutospacing="0"/>
        <w:ind w:firstLine="709"/>
        <w:jc w:val="center"/>
        <w:rPr>
          <w:color w:val="000000" w:themeColor="text1"/>
          <w:sz w:val="28"/>
          <w:szCs w:val="28"/>
        </w:rPr>
      </w:pPr>
    </w:p>
    <w:tbl>
      <w:tblPr>
        <w:tblStyle w:val="a3"/>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7796"/>
      </w:tblGrid>
      <w:tr w:rsidR="00E443CF" w:rsidRPr="00B73144" w14:paraId="70B66C79" w14:textId="77777777" w:rsidTr="00F32A4D">
        <w:tc>
          <w:tcPr>
            <w:tcW w:w="6521" w:type="dxa"/>
            <w:vAlign w:val="bottom"/>
          </w:tcPr>
          <w:p w14:paraId="7A25ED26" w14:textId="77777777" w:rsidR="00E443CF" w:rsidRPr="00B73144" w:rsidRDefault="00E443CF" w:rsidP="00B5282C">
            <w:pPr>
              <w:autoSpaceDE w:val="0"/>
              <w:autoSpaceDN w:val="0"/>
              <w:rPr>
                <w:color w:val="000000" w:themeColor="text1"/>
              </w:rPr>
            </w:pPr>
            <w:r w:rsidRPr="00B73144">
              <w:rPr>
                <w:color w:val="000000" w:themeColor="text1"/>
              </w:rPr>
              <w:t xml:space="preserve">Директор Департаменту методології </w:t>
            </w:r>
            <w:r w:rsidRPr="00B73144">
              <w:rPr>
                <w:bCs/>
                <w:color w:val="000000" w:themeColor="text1"/>
              </w:rPr>
              <w:t>регулювання діяльності небанківських фінансових установ</w:t>
            </w:r>
          </w:p>
        </w:tc>
        <w:tc>
          <w:tcPr>
            <w:tcW w:w="7796" w:type="dxa"/>
            <w:vAlign w:val="bottom"/>
          </w:tcPr>
          <w:p w14:paraId="1C07C251" w14:textId="77777777" w:rsidR="00E443CF" w:rsidRPr="00B73144" w:rsidRDefault="00E443CF" w:rsidP="00B5282C">
            <w:pPr>
              <w:tabs>
                <w:tab w:val="left" w:pos="7020"/>
                <w:tab w:val="left" w:pos="7200"/>
              </w:tabs>
              <w:autoSpaceDE w:val="0"/>
              <w:autoSpaceDN w:val="0"/>
              <w:jc w:val="right"/>
              <w:rPr>
                <w:color w:val="000000" w:themeColor="text1"/>
              </w:rPr>
            </w:pPr>
            <w:r w:rsidRPr="00B73144">
              <w:rPr>
                <w:color w:val="000000" w:themeColor="text1"/>
              </w:rPr>
              <w:t>Сергій САВЧУК</w:t>
            </w:r>
          </w:p>
        </w:tc>
      </w:tr>
    </w:tbl>
    <w:p w14:paraId="33472672" w14:textId="77777777" w:rsidR="00530CFB" w:rsidRPr="00B73144" w:rsidRDefault="00530CFB" w:rsidP="00B5282C">
      <w:pPr>
        <w:pStyle w:val="a4"/>
        <w:spacing w:before="0" w:beforeAutospacing="0" w:after="0" w:afterAutospacing="0"/>
        <w:ind w:firstLine="709"/>
        <w:jc w:val="both"/>
        <w:rPr>
          <w:color w:val="000000" w:themeColor="text1"/>
          <w:sz w:val="28"/>
          <w:szCs w:val="28"/>
        </w:rPr>
      </w:pPr>
    </w:p>
    <w:p w14:paraId="5345D528" w14:textId="439BBDB0" w:rsidR="00413FCB" w:rsidRPr="00B73144" w:rsidRDefault="00413FCB" w:rsidP="00B5282C">
      <w:pPr>
        <w:pStyle w:val="a4"/>
        <w:spacing w:before="0" w:beforeAutospacing="0" w:after="0" w:afterAutospacing="0"/>
        <w:ind w:firstLine="709"/>
        <w:jc w:val="both"/>
        <w:rPr>
          <w:color w:val="000000" w:themeColor="text1"/>
          <w:sz w:val="28"/>
          <w:szCs w:val="28"/>
        </w:rPr>
      </w:pPr>
      <w:r w:rsidRPr="00B73144">
        <w:rPr>
          <w:color w:val="000000" w:themeColor="text1"/>
          <w:sz w:val="28"/>
          <w:szCs w:val="28"/>
        </w:rPr>
        <w:t>“____” ______________ 20___ року</w:t>
      </w:r>
    </w:p>
    <w:sectPr w:rsidR="00413FCB" w:rsidRPr="00B73144" w:rsidSect="00413FCB">
      <w:pgSz w:w="16838" w:h="11906" w:orient="landscape"/>
      <w:pgMar w:top="1418" w:right="85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670D2"/>
    <w:multiLevelType w:val="hybridMultilevel"/>
    <w:tmpl w:val="4886D0AC"/>
    <w:lvl w:ilvl="0" w:tplc="AE5813FE">
      <w:start w:val="1"/>
      <w:numFmt w:val="decimal"/>
      <w:suff w:val="space"/>
      <w:lvlText w:val="%1)"/>
      <w:lvlJc w:val="left"/>
      <w:pPr>
        <w:ind w:left="720" w:hanging="360"/>
      </w:pPr>
      <w:rPr>
        <w:rFonts w:hint="default"/>
      </w:rPr>
    </w:lvl>
    <w:lvl w:ilvl="1" w:tplc="04220019" w:tentative="1">
      <w:start w:val="1"/>
      <w:numFmt w:val="lowerLetter"/>
      <w:lvlText w:val="%2."/>
      <w:lvlJc w:val="left"/>
      <w:pPr>
        <w:ind w:left="1116" w:hanging="360"/>
      </w:pPr>
    </w:lvl>
    <w:lvl w:ilvl="2" w:tplc="0422001B" w:tentative="1">
      <w:start w:val="1"/>
      <w:numFmt w:val="lowerRoman"/>
      <w:lvlText w:val="%3."/>
      <w:lvlJc w:val="right"/>
      <w:pPr>
        <w:ind w:left="1836" w:hanging="180"/>
      </w:pPr>
    </w:lvl>
    <w:lvl w:ilvl="3" w:tplc="0422000F" w:tentative="1">
      <w:start w:val="1"/>
      <w:numFmt w:val="decimal"/>
      <w:lvlText w:val="%4."/>
      <w:lvlJc w:val="left"/>
      <w:pPr>
        <w:ind w:left="2556" w:hanging="360"/>
      </w:pPr>
    </w:lvl>
    <w:lvl w:ilvl="4" w:tplc="04220019" w:tentative="1">
      <w:start w:val="1"/>
      <w:numFmt w:val="lowerLetter"/>
      <w:lvlText w:val="%5."/>
      <w:lvlJc w:val="left"/>
      <w:pPr>
        <w:ind w:left="3276" w:hanging="360"/>
      </w:pPr>
    </w:lvl>
    <w:lvl w:ilvl="5" w:tplc="0422001B" w:tentative="1">
      <w:start w:val="1"/>
      <w:numFmt w:val="lowerRoman"/>
      <w:lvlText w:val="%6."/>
      <w:lvlJc w:val="right"/>
      <w:pPr>
        <w:ind w:left="3996" w:hanging="180"/>
      </w:pPr>
    </w:lvl>
    <w:lvl w:ilvl="6" w:tplc="0422000F" w:tentative="1">
      <w:start w:val="1"/>
      <w:numFmt w:val="decimal"/>
      <w:lvlText w:val="%7."/>
      <w:lvlJc w:val="left"/>
      <w:pPr>
        <w:ind w:left="4716" w:hanging="360"/>
      </w:pPr>
    </w:lvl>
    <w:lvl w:ilvl="7" w:tplc="04220019" w:tentative="1">
      <w:start w:val="1"/>
      <w:numFmt w:val="lowerLetter"/>
      <w:lvlText w:val="%8."/>
      <w:lvlJc w:val="left"/>
      <w:pPr>
        <w:ind w:left="5436" w:hanging="360"/>
      </w:pPr>
    </w:lvl>
    <w:lvl w:ilvl="8" w:tplc="0422001B" w:tentative="1">
      <w:start w:val="1"/>
      <w:numFmt w:val="lowerRoman"/>
      <w:lvlText w:val="%9."/>
      <w:lvlJc w:val="right"/>
      <w:pPr>
        <w:ind w:left="6156" w:hanging="180"/>
      </w:pPr>
    </w:lvl>
  </w:abstractNum>
  <w:abstractNum w:abstractNumId="2" w15:restartNumberingAfterBreak="0">
    <w:nsid w:val="09BC2449"/>
    <w:multiLevelType w:val="hybridMultilevel"/>
    <w:tmpl w:val="B82E7162"/>
    <w:lvl w:ilvl="0" w:tplc="36B40EB6">
      <w:start w:val="1"/>
      <w:numFmt w:val="decimal"/>
      <w:lvlText w:val="%1."/>
      <w:lvlJc w:val="left"/>
      <w:pPr>
        <w:ind w:left="685" w:hanging="360"/>
      </w:pPr>
      <w:rPr>
        <w:rFonts w:hint="default"/>
      </w:rPr>
    </w:lvl>
    <w:lvl w:ilvl="1" w:tplc="04220019" w:tentative="1">
      <w:start w:val="1"/>
      <w:numFmt w:val="lowerLetter"/>
      <w:lvlText w:val="%2."/>
      <w:lvlJc w:val="left"/>
      <w:pPr>
        <w:ind w:left="1405" w:hanging="360"/>
      </w:pPr>
    </w:lvl>
    <w:lvl w:ilvl="2" w:tplc="0422001B" w:tentative="1">
      <w:start w:val="1"/>
      <w:numFmt w:val="lowerRoman"/>
      <w:lvlText w:val="%3."/>
      <w:lvlJc w:val="right"/>
      <w:pPr>
        <w:ind w:left="2125" w:hanging="180"/>
      </w:pPr>
    </w:lvl>
    <w:lvl w:ilvl="3" w:tplc="0422000F" w:tentative="1">
      <w:start w:val="1"/>
      <w:numFmt w:val="decimal"/>
      <w:lvlText w:val="%4."/>
      <w:lvlJc w:val="left"/>
      <w:pPr>
        <w:ind w:left="2845" w:hanging="360"/>
      </w:pPr>
    </w:lvl>
    <w:lvl w:ilvl="4" w:tplc="04220019" w:tentative="1">
      <w:start w:val="1"/>
      <w:numFmt w:val="lowerLetter"/>
      <w:lvlText w:val="%5."/>
      <w:lvlJc w:val="left"/>
      <w:pPr>
        <w:ind w:left="3565" w:hanging="360"/>
      </w:pPr>
    </w:lvl>
    <w:lvl w:ilvl="5" w:tplc="0422001B" w:tentative="1">
      <w:start w:val="1"/>
      <w:numFmt w:val="lowerRoman"/>
      <w:lvlText w:val="%6."/>
      <w:lvlJc w:val="right"/>
      <w:pPr>
        <w:ind w:left="4285" w:hanging="180"/>
      </w:pPr>
    </w:lvl>
    <w:lvl w:ilvl="6" w:tplc="0422000F" w:tentative="1">
      <w:start w:val="1"/>
      <w:numFmt w:val="decimal"/>
      <w:lvlText w:val="%7."/>
      <w:lvlJc w:val="left"/>
      <w:pPr>
        <w:ind w:left="5005" w:hanging="360"/>
      </w:pPr>
    </w:lvl>
    <w:lvl w:ilvl="7" w:tplc="04220019" w:tentative="1">
      <w:start w:val="1"/>
      <w:numFmt w:val="lowerLetter"/>
      <w:lvlText w:val="%8."/>
      <w:lvlJc w:val="left"/>
      <w:pPr>
        <w:ind w:left="5725" w:hanging="360"/>
      </w:pPr>
    </w:lvl>
    <w:lvl w:ilvl="8" w:tplc="0422001B" w:tentative="1">
      <w:start w:val="1"/>
      <w:numFmt w:val="lowerRoman"/>
      <w:lvlText w:val="%9."/>
      <w:lvlJc w:val="right"/>
      <w:pPr>
        <w:ind w:left="6445" w:hanging="180"/>
      </w:pPr>
    </w:lvl>
  </w:abstractNum>
  <w:abstractNum w:abstractNumId="3" w15:restartNumberingAfterBreak="0">
    <w:nsid w:val="0D3B5015"/>
    <w:multiLevelType w:val="hybridMultilevel"/>
    <w:tmpl w:val="19B6DBEE"/>
    <w:lvl w:ilvl="0" w:tplc="B9C40D7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D967792"/>
    <w:multiLevelType w:val="hybridMultilevel"/>
    <w:tmpl w:val="862E1EDE"/>
    <w:lvl w:ilvl="0" w:tplc="77B60E20">
      <w:start w:val="1"/>
      <w:numFmt w:val="decimal"/>
      <w:lvlText w:val="%1)"/>
      <w:lvlJc w:val="left"/>
      <w:pPr>
        <w:ind w:left="1429"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0EAC015B"/>
    <w:multiLevelType w:val="hybridMultilevel"/>
    <w:tmpl w:val="906891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FFE2EB8"/>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1F22427"/>
    <w:multiLevelType w:val="hybridMultilevel"/>
    <w:tmpl w:val="63262ADA"/>
    <w:lvl w:ilvl="0" w:tplc="59489334">
      <w:start w:val="1"/>
      <w:numFmt w:val="decimal"/>
      <w:lvlText w:val="%1)"/>
      <w:lvlJc w:val="left"/>
      <w:pPr>
        <w:ind w:left="3479" w:hanging="360"/>
      </w:pPr>
      <w:rPr>
        <w:rFonts w:cs="Times New Roman" w:hint="default"/>
        <w:strike w:val="0"/>
        <w:color w:val="auto"/>
        <w:sz w:val="28"/>
        <w:szCs w:val="28"/>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17252359"/>
    <w:multiLevelType w:val="hybridMultilevel"/>
    <w:tmpl w:val="C07CD69E"/>
    <w:lvl w:ilvl="0" w:tplc="2AB830C8">
      <w:start w:val="1"/>
      <w:numFmt w:val="decimal"/>
      <w:lvlText w:val="%1)"/>
      <w:lvlJc w:val="left"/>
      <w:pPr>
        <w:ind w:left="858" w:hanging="408"/>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1AA14175"/>
    <w:multiLevelType w:val="hybridMultilevel"/>
    <w:tmpl w:val="ADD2EE3A"/>
    <w:lvl w:ilvl="0" w:tplc="E2AC99A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D0449EF"/>
    <w:multiLevelType w:val="hybridMultilevel"/>
    <w:tmpl w:val="468CB826"/>
    <w:lvl w:ilvl="0" w:tplc="3F422E1C">
      <w:start w:val="1"/>
      <w:numFmt w:val="decimal"/>
      <w:suff w:val="space"/>
      <w:lvlText w:val="%1)"/>
      <w:lvlJc w:val="left"/>
      <w:pPr>
        <w:ind w:left="720" w:hanging="360"/>
      </w:pPr>
      <w:rPr>
        <w:rFonts w:hint="default"/>
        <w:b/>
      </w:rPr>
    </w:lvl>
    <w:lvl w:ilvl="1" w:tplc="04220019" w:tentative="1">
      <w:start w:val="1"/>
      <w:numFmt w:val="lowerLetter"/>
      <w:lvlText w:val="%2."/>
      <w:lvlJc w:val="left"/>
      <w:pPr>
        <w:ind w:left="1782" w:hanging="360"/>
      </w:pPr>
    </w:lvl>
    <w:lvl w:ilvl="2" w:tplc="0422001B" w:tentative="1">
      <w:start w:val="1"/>
      <w:numFmt w:val="lowerRoman"/>
      <w:lvlText w:val="%3."/>
      <w:lvlJc w:val="right"/>
      <w:pPr>
        <w:ind w:left="2502" w:hanging="180"/>
      </w:pPr>
    </w:lvl>
    <w:lvl w:ilvl="3" w:tplc="0422000F" w:tentative="1">
      <w:start w:val="1"/>
      <w:numFmt w:val="decimal"/>
      <w:lvlText w:val="%4."/>
      <w:lvlJc w:val="left"/>
      <w:pPr>
        <w:ind w:left="3222" w:hanging="360"/>
      </w:pPr>
    </w:lvl>
    <w:lvl w:ilvl="4" w:tplc="04220019" w:tentative="1">
      <w:start w:val="1"/>
      <w:numFmt w:val="lowerLetter"/>
      <w:lvlText w:val="%5."/>
      <w:lvlJc w:val="left"/>
      <w:pPr>
        <w:ind w:left="3942" w:hanging="360"/>
      </w:pPr>
    </w:lvl>
    <w:lvl w:ilvl="5" w:tplc="0422001B" w:tentative="1">
      <w:start w:val="1"/>
      <w:numFmt w:val="lowerRoman"/>
      <w:lvlText w:val="%6."/>
      <w:lvlJc w:val="right"/>
      <w:pPr>
        <w:ind w:left="4662" w:hanging="180"/>
      </w:pPr>
    </w:lvl>
    <w:lvl w:ilvl="6" w:tplc="0422000F" w:tentative="1">
      <w:start w:val="1"/>
      <w:numFmt w:val="decimal"/>
      <w:lvlText w:val="%7."/>
      <w:lvlJc w:val="left"/>
      <w:pPr>
        <w:ind w:left="5382" w:hanging="360"/>
      </w:pPr>
    </w:lvl>
    <w:lvl w:ilvl="7" w:tplc="04220019" w:tentative="1">
      <w:start w:val="1"/>
      <w:numFmt w:val="lowerLetter"/>
      <w:lvlText w:val="%8."/>
      <w:lvlJc w:val="left"/>
      <w:pPr>
        <w:ind w:left="6102" w:hanging="360"/>
      </w:pPr>
    </w:lvl>
    <w:lvl w:ilvl="8" w:tplc="0422001B" w:tentative="1">
      <w:start w:val="1"/>
      <w:numFmt w:val="lowerRoman"/>
      <w:lvlText w:val="%9."/>
      <w:lvlJc w:val="right"/>
      <w:pPr>
        <w:ind w:left="6822" w:hanging="180"/>
      </w:pPr>
    </w:lvl>
  </w:abstractNum>
  <w:abstractNum w:abstractNumId="11" w15:restartNumberingAfterBreak="0">
    <w:nsid w:val="219222DE"/>
    <w:multiLevelType w:val="hybridMultilevel"/>
    <w:tmpl w:val="342E1464"/>
    <w:lvl w:ilvl="0" w:tplc="0422000F">
      <w:start w:val="1"/>
      <w:numFmt w:val="decimal"/>
      <w:lvlText w:val="%1."/>
      <w:lvlJc w:val="left"/>
      <w:pPr>
        <w:ind w:left="720" w:hanging="360"/>
      </w:pPr>
    </w:lvl>
    <w:lvl w:ilvl="1" w:tplc="0422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2E3273E"/>
    <w:multiLevelType w:val="hybridMultilevel"/>
    <w:tmpl w:val="89C02C0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10B2CB6"/>
    <w:multiLevelType w:val="hybridMultilevel"/>
    <w:tmpl w:val="218EBE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70D239F"/>
    <w:multiLevelType w:val="hybridMultilevel"/>
    <w:tmpl w:val="862E1EDE"/>
    <w:lvl w:ilvl="0" w:tplc="77B60E20">
      <w:start w:val="1"/>
      <w:numFmt w:val="decimal"/>
      <w:lvlText w:val="%1)"/>
      <w:lvlJc w:val="left"/>
      <w:pPr>
        <w:ind w:left="1429"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39570260"/>
    <w:multiLevelType w:val="hybridMultilevel"/>
    <w:tmpl w:val="F2229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A2A0B59"/>
    <w:multiLevelType w:val="hybridMultilevel"/>
    <w:tmpl w:val="7668F05C"/>
    <w:lvl w:ilvl="0" w:tplc="735E56B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ADB21CD"/>
    <w:multiLevelType w:val="hybridMultilevel"/>
    <w:tmpl w:val="0E8C7A80"/>
    <w:lvl w:ilvl="0" w:tplc="E5E4EAC0">
      <w:start w:val="1"/>
      <w:numFmt w:val="decimal"/>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C8B4FBA"/>
    <w:multiLevelType w:val="hybridMultilevel"/>
    <w:tmpl w:val="ED7C6942"/>
    <w:lvl w:ilvl="0" w:tplc="7270CD6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3E823B14"/>
    <w:multiLevelType w:val="hybridMultilevel"/>
    <w:tmpl w:val="EAA41F42"/>
    <w:lvl w:ilvl="0" w:tplc="9C7CBB8E">
      <w:start w:val="1"/>
      <w:numFmt w:val="decimal"/>
      <w:lvlText w:val="%1)"/>
      <w:lvlJc w:val="left"/>
      <w:pPr>
        <w:ind w:left="1080" w:hanging="360"/>
      </w:pPr>
      <w:rPr>
        <w:rFonts w:hint="default"/>
        <w:color w:val="000000" w:themeColor="text1"/>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4041744"/>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95B7E70"/>
    <w:multiLevelType w:val="hybridMultilevel"/>
    <w:tmpl w:val="A0CC6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C67CB"/>
    <w:multiLevelType w:val="hybridMultilevel"/>
    <w:tmpl w:val="3E7EC8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04F70F9"/>
    <w:multiLevelType w:val="multilevel"/>
    <w:tmpl w:val="086A3378"/>
    <w:lvl w:ilvl="0">
      <w:start w:val="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4" w15:restartNumberingAfterBreak="0">
    <w:nsid w:val="64C06744"/>
    <w:multiLevelType w:val="hybridMultilevel"/>
    <w:tmpl w:val="F8009D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BC5C48"/>
    <w:multiLevelType w:val="hybridMultilevel"/>
    <w:tmpl w:val="6FB6F7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91B7FA1"/>
    <w:multiLevelType w:val="hybridMultilevel"/>
    <w:tmpl w:val="442A4B1E"/>
    <w:lvl w:ilvl="0" w:tplc="7CA8BC8E">
      <w:start w:val="1"/>
      <w:numFmt w:val="decimal"/>
      <w:lvlText w:val="%1."/>
      <w:lvlJc w:val="left"/>
      <w:pPr>
        <w:ind w:left="2487"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7" w15:restartNumberingAfterBreak="0">
    <w:nsid w:val="6E3E1FA3"/>
    <w:multiLevelType w:val="hybridMultilevel"/>
    <w:tmpl w:val="D8E212AC"/>
    <w:lvl w:ilvl="0" w:tplc="4210C2AC">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1DC6351"/>
    <w:multiLevelType w:val="hybridMultilevel"/>
    <w:tmpl w:val="FAEA754E"/>
    <w:lvl w:ilvl="0" w:tplc="4B9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77D3A51"/>
    <w:multiLevelType w:val="hybridMultilevel"/>
    <w:tmpl w:val="5CB862F4"/>
    <w:lvl w:ilvl="0" w:tplc="04220001">
      <w:start w:val="1"/>
      <w:numFmt w:val="bullet"/>
      <w:lvlText w:val=""/>
      <w:lvlJc w:val="left"/>
      <w:pPr>
        <w:ind w:left="1794" w:hanging="360"/>
      </w:pPr>
      <w:rPr>
        <w:rFonts w:ascii="Symbol" w:hAnsi="Symbol" w:hint="default"/>
      </w:rPr>
    </w:lvl>
    <w:lvl w:ilvl="1" w:tplc="04220003" w:tentative="1">
      <w:start w:val="1"/>
      <w:numFmt w:val="bullet"/>
      <w:lvlText w:val="o"/>
      <w:lvlJc w:val="left"/>
      <w:pPr>
        <w:ind w:left="2514" w:hanging="360"/>
      </w:pPr>
      <w:rPr>
        <w:rFonts w:ascii="Courier New" w:hAnsi="Courier New" w:cs="Courier New" w:hint="default"/>
      </w:rPr>
    </w:lvl>
    <w:lvl w:ilvl="2" w:tplc="04220005" w:tentative="1">
      <w:start w:val="1"/>
      <w:numFmt w:val="bullet"/>
      <w:lvlText w:val=""/>
      <w:lvlJc w:val="left"/>
      <w:pPr>
        <w:ind w:left="3234" w:hanging="360"/>
      </w:pPr>
      <w:rPr>
        <w:rFonts w:ascii="Wingdings" w:hAnsi="Wingdings" w:hint="default"/>
      </w:rPr>
    </w:lvl>
    <w:lvl w:ilvl="3" w:tplc="04220001" w:tentative="1">
      <w:start w:val="1"/>
      <w:numFmt w:val="bullet"/>
      <w:lvlText w:val=""/>
      <w:lvlJc w:val="left"/>
      <w:pPr>
        <w:ind w:left="3954" w:hanging="360"/>
      </w:pPr>
      <w:rPr>
        <w:rFonts w:ascii="Symbol" w:hAnsi="Symbol" w:hint="default"/>
      </w:rPr>
    </w:lvl>
    <w:lvl w:ilvl="4" w:tplc="04220003" w:tentative="1">
      <w:start w:val="1"/>
      <w:numFmt w:val="bullet"/>
      <w:lvlText w:val="o"/>
      <w:lvlJc w:val="left"/>
      <w:pPr>
        <w:ind w:left="4674" w:hanging="360"/>
      </w:pPr>
      <w:rPr>
        <w:rFonts w:ascii="Courier New" w:hAnsi="Courier New" w:cs="Courier New" w:hint="default"/>
      </w:rPr>
    </w:lvl>
    <w:lvl w:ilvl="5" w:tplc="04220005" w:tentative="1">
      <w:start w:val="1"/>
      <w:numFmt w:val="bullet"/>
      <w:lvlText w:val=""/>
      <w:lvlJc w:val="left"/>
      <w:pPr>
        <w:ind w:left="5394" w:hanging="360"/>
      </w:pPr>
      <w:rPr>
        <w:rFonts w:ascii="Wingdings" w:hAnsi="Wingdings" w:hint="default"/>
      </w:rPr>
    </w:lvl>
    <w:lvl w:ilvl="6" w:tplc="04220001" w:tentative="1">
      <w:start w:val="1"/>
      <w:numFmt w:val="bullet"/>
      <w:lvlText w:val=""/>
      <w:lvlJc w:val="left"/>
      <w:pPr>
        <w:ind w:left="6114" w:hanging="360"/>
      </w:pPr>
      <w:rPr>
        <w:rFonts w:ascii="Symbol" w:hAnsi="Symbol" w:hint="default"/>
      </w:rPr>
    </w:lvl>
    <w:lvl w:ilvl="7" w:tplc="04220003" w:tentative="1">
      <w:start w:val="1"/>
      <w:numFmt w:val="bullet"/>
      <w:lvlText w:val="o"/>
      <w:lvlJc w:val="left"/>
      <w:pPr>
        <w:ind w:left="6834" w:hanging="360"/>
      </w:pPr>
      <w:rPr>
        <w:rFonts w:ascii="Courier New" w:hAnsi="Courier New" w:cs="Courier New" w:hint="default"/>
      </w:rPr>
    </w:lvl>
    <w:lvl w:ilvl="8" w:tplc="04220005" w:tentative="1">
      <w:start w:val="1"/>
      <w:numFmt w:val="bullet"/>
      <w:lvlText w:val=""/>
      <w:lvlJc w:val="left"/>
      <w:pPr>
        <w:ind w:left="7554" w:hanging="360"/>
      </w:pPr>
      <w:rPr>
        <w:rFonts w:ascii="Wingdings" w:hAnsi="Wingdings" w:hint="default"/>
      </w:rPr>
    </w:lvl>
  </w:abstractNum>
  <w:abstractNum w:abstractNumId="30" w15:restartNumberingAfterBreak="0">
    <w:nsid w:val="7B460B9F"/>
    <w:multiLevelType w:val="hybridMultilevel"/>
    <w:tmpl w:val="7DC694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D14448D"/>
    <w:multiLevelType w:val="hybridMultilevel"/>
    <w:tmpl w:val="7B4808C2"/>
    <w:lvl w:ilvl="0" w:tplc="8B06C59C">
      <w:start w:val="1"/>
      <w:numFmt w:val="decimal"/>
      <w:suff w:val="space"/>
      <w:lvlText w:val="%1)"/>
      <w:lvlJc w:val="left"/>
      <w:pPr>
        <w:ind w:left="720" w:hanging="360"/>
      </w:pPr>
      <w:rPr>
        <w:rFonts w:hint="default"/>
      </w:rPr>
    </w:lvl>
    <w:lvl w:ilvl="1" w:tplc="04220019" w:tentative="1">
      <w:start w:val="1"/>
      <w:numFmt w:val="lowerLetter"/>
      <w:lvlText w:val="%2."/>
      <w:lvlJc w:val="left"/>
      <w:pPr>
        <w:ind w:left="1683" w:hanging="360"/>
      </w:pPr>
    </w:lvl>
    <w:lvl w:ilvl="2" w:tplc="0422001B" w:tentative="1">
      <w:start w:val="1"/>
      <w:numFmt w:val="lowerRoman"/>
      <w:lvlText w:val="%3."/>
      <w:lvlJc w:val="right"/>
      <w:pPr>
        <w:ind w:left="2403" w:hanging="180"/>
      </w:pPr>
    </w:lvl>
    <w:lvl w:ilvl="3" w:tplc="0422000F" w:tentative="1">
      <w:start w:val="1"/>
      <w:numFmt w:val="decimal"/>
      <w:lvlText w:val="%4."/>
      <w:lvlJc w:val="left"/>
      <w:pPr>
        <w:ind w:left="3123" w:hanging="360"/>
      </w:pPr>
    </w:lvl>
    <w:lvl w:ilvl="4" w:tplc="04220019" w:tentative="1">
      <w:start w:val="1"/>
      <w:numFmt w:val="lowerLetter"/>
      <w:lvlText w:val="%5."/>
      <w:lvlJc w:val="left"/>
      <w:pPr>
        <w:ind w:left="3843" w:hanging="360"/>
      </w:pPr>
    </w:lvl>
    <w:lvl w:ilvl="5" w:tplc="0422001B" w:tentative="1">
      <w:start w:val="1"/>
      <w:numFmt w:val="lowerRoman"/>
      <w:lvlText w:val="%6."/>
      <w:lvlJc w:val="right"/>
      <w:pPr>
        <w:ind w:left="4563" w:hanging="180"/>
      </w:pPr>
    </w:lvl>
    <w:lvl w:ilvl="6" w:tplc="0422000F" w:tentative="1">
      <w:start w:val="1"/>
      <w:numFmt w:val="decimal"/>
      <w:lvlText w:val="%7."/>
      <w:lvlJc w:val="left"/>
      <w:pPr>
        <w:ind w:left="5283" w:hanging="360"/>
      </w:pPr>
    </w:lvl>
    <w:lvl w:ilvl="7" w:tplc="04220019" w:tentative="1">
      <w:start w:val="1"/>
      <w:numFmt w:val="lowerLetter"/>
      <w:lvlText w:val="%8."/>
      <w:lvlJc w:val="left"/>
      <w:pPr>
        <w:ind w:left="6003" w:hanging="360"/>
      </w:pPr>
    </w:lvl>
    <w:lvl w:ilvl="8" w:tplc="0422001B" w:tentative="1">
      <w:start w:val="1"/>
      <w:numFmt w:val="lowerRoman"/>
      <w:lvlText w:val="%9."/>
      <w:lvlJc w:val="right"/>
      <w:pPr>
        <w:ind w:left="6723" w:hanging="180"/>
      </w:pPr>
    </w:lvl>
  </w:abstractNum>
  <w:abstractNum w:abstractNumId="32" w15:restartNumberingAfterBreak="0">
    <w:nsid w:val="7EB77902"/>
    <w:multiLevelType w:val="hybridMultilevel"/>
    <w:tmpl w:val="21A2AF30"/>
    <w:lvl w:ilvl="0" w:tplc="4210C2AC">
      <w:start w:val="1"/>
      <w:numFmt w:val="decimal"/>
      <w:lvlText w:val="%1"/>
      <w:lvlJc w:val="left"/>
      <w:pPr>
        <w:ind w:left="1080" w:hanging="720"/>
      </w:pPr>
      <w:rPr>
        <w:rFonts w:hint="default"/>
      </w:rPr>
    </w:lvl>
    <w:lvl w:ilvl="1" w:tplc="825449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87D21"/>
    <w:multiLevelType w:val="hybridMultilevel"/>
    <w:tmpl w:val="821E4DE8"/>
    <w:lvl w:ilvl="0" w:tplc="94EC8504">
      <w:start w:val="9"/>
      <w:numFmt w:val="decimal"/>
      <w:lvlText w:val="%1)"/>
      <w:lvlJc w:val="left"/>
      <w:pPr>
        <w:ind w:left="720" w:hanging="360"/>
      </w:pPr>
      <w:rPr>
        <w:rFonts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3"/>
  </w:num>
  <w:num w:numId="2">
    <w:abstractNumId w:val="6"/>
  </w:num>
  <w:num w:numId="3">
    <w:abstractNumId w:val="20"/>
  </w:num>
  <w:num w:numId="4">
    <w:abstractNumId w:val="15"/>
  </w:num>
  <w:num w:numId="5">
    <w:abstractNumId w:val="21"/>
  </w:num>
  <w:num w:numId="6">
    <w:abstractNumId w:val="27"/>
  </w:num>
  <w:num w:numId="7">
    <w:abstractNumId w:val="17"/>
  </w:num>
  <w:num w:numId="8">
    <w:abstractNumId w:val="26"/>
  </w:num>
  <w:num w:numId="9">
    <w:abstractNumId w:val="28"/>
  </w:num>
  <w:num w:numId="10">
    <w:abstractNumId w:val="0"/>
  </w:num>
  <w:num w:numId="11">
    <w:abstractNumId w:val="22"/>
  </w:num>
  <w:num w:numId="12">
    <w:abstractNumId w:val="8"/>
  </w:num>
  <w:num w:numId="13">
    <w:abstractNumId w:val="7"/>
  </w:num>
  <w:num w:numId="14">
    <w:abstractNumId w:val="11"/>
  </w:num>
  <w:num w:numId="15">
    <w:abstractNumId w:val="29"/>
  </w:num>
  <w:num w:numId="16">
    <w:abstractNumId w:val="19"/>
  </w:num>
  <w:num w:numId="17">
    <w:abstractNumId w:val="3"/>
  </w:num>
  <w:num w:numId="18">
    <w:abstractNumId w:val="24"/>
  </w:num>
  <w:num w:numId="19">
    <w:abstractNumId w:val="2"/>
  </w:num>
  <w:num w:numId="20">
    <w:abstractNumId w:val="10"/>
  </w:num>
  <w:num w:numId="21">
    <w:abstractNumId w:val="1"/>
  </w:num>
  <w:num w:numId="22">
    <w:abstractNumId w:val="31"/>
  </w:num>
  <w:num w:numId="23">
    <w:abstractNumId w:val="33"/>
  </w:num>
  <w:num w:numId="24">
    <w:abstractNumId w:val="16"/>
  </w:num>
  <w:num w:numId="25">
    <w:abstractNumId w:val="25"/>
  </w:num>
  <w:num w:numId="26">
    <w:abstractNumId w:val="30"/>
  </w:num>
  <w:num w:numId="27">
    <w:abstractNumId w:val="5"/>
  </w:num>
  <w:num w:numId="28">
    <w:abstractNumId w:val="9"/>
  </w:num>
  <w:num w:numId="29">
    <w:abstractNumId w:val="18"/>
  </w:num>
  <w:num w:numId="30">
    <w:abstractNumId w:val="14"/>
  </w:num>
  <w:num w:numId="31">
    <w:abstractNumId w:val="32"/>
  </w:num>
  <w:num w:numId="32">
    <w:abstractNumId w:val="4"/>
  </w:num>
  <w:num w:numId="33">
    <w:abstractNumId w:val="1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F"/>
    <w:rsid w:val="000015CD"/>
    <w:rsid w:val="00001A54"/>
    <w:rsid w:val="00001DDC"/>
    <w:rsid w:val="0000415F"/>
    <w:rsid w:val="000070FA"/>
    <w:rsid w:val="00007A79"/>
    <w:rsid w:val="000104DC"/>
    <w:rsid w:val="00010A82"/>
    <w:rsid w:val="00010C69"/>
    <w:rsid w:val="00016168"/>
    <w:rsid w:val="00020425"/>
    <w:rsid w:val="000219F0"/>
    <w:rsid w:val="00022843"/>
    <w:rsid w:val="00023F41"/>
    <w:rsid w:val="0002456F"/>
    <w:rsid w:val="000256B6"/>
    <w:rsid w:val="000267DE"/>
    <w:rsid w:val="00032E56"/>
    <w:rsid w:val="00034064"/>
    <w:rsid w:val="00036C72"/>
    <w:rsid w:val="0003721A"/>
    <w:rsid w:val="00040352"/>
    <w:rsid w:val="00040660"/>
    <w:rsid w:val="00042A64"/>
    <w:rsid w:val="00043128"/>
    <w:rsid w:val="00045706"/>
    <w:rsid w:val="00060426"/>
    <w:rsid w:val="000649CA"/>
    <w:rsid w:val="000658DE"/>
    <w:rsid w:val="00065A7F"/>
    <w:rsid w:val="0007024E"/>
    <w:rsid w:val="00071164"/>
    <w:rsid w:val="00072EEA"/>
    <w:rsid w:val="00076DDE"/>
    <w:rsid w:val="000775F5"/>
    <w:rsid w:val="00080F88"/>
    <w:rsid w:val="00082A68"/>
    <w:rsid w:val="0008358E"/>
    <w:rsid w:val="000926A3"/>
    <w:rsid w:val="00092774"/>
    <w:rsid w:val="00094CC7"/>
    <w:rsid w:val="000A2A5A"/>
    <w:rsid w:val="000A52EE"/>
    <w:rsid w:val="000A7164"/>
    <w:rsid w:val="000B0A56"/>
    <w:rsid w:val="000B0E45"/>
    <w:rsid w:val="000B14E2"/>
    <w:rsid w:val="000B19D7"/>
    <w:rsid w:val="000B2A81"/>
    <w:rsid w:val="000B7424"/>
    <w:rsid w:val="000C0477"/>
    <w:rsid w:val="000C1BB6"/>
    <w:rsid w:val="000C3272"/>
    <w:rsid w:val="000C360E"/>
    <w:rsid w:val="000C3E4A"/>
    <w:rsid w:val="000C425A"/>
    <w:rsid w:val="000C4386"/>
    <w:rsid w:val="000C575A"/>
    <w:rsid w:val="000D0E62"/>
    <w:rsid w:val="000D2BCB"/>
    <w:rsid w:val="000D3BE5"/>
    <w:rsid w:val="000D5081"/>
    <w:rsid w:val="000D5146"/>
    <w:rsid w:val="000D6272"/>
    <w:rsid w:val="000E15EA"/>
    <w:rsid w:val="000E4048"/>
    <w:rsid w:val="000E422C"/>
    <w:rsid w:val="000E4589"/>
    <w:rsid w:val="000E602B"/>
    <w:rsid w:val="000F003E"/>
    <w:rsid w:val="000F277F"/>
    <w:rsid w:val="000F389F"/>
    <w:rsid w:val="000F441E"/>
    <w:rsid w:val="000F4E4B"/>
    <w:rsid w:val="000F4F43"/>
    <w:rsid w:val="000F55C1"/>
    <w:rsid w:val="000F6DA9"/>
    <w:rsid w:val="000F7DEB"/>
    <w:rsid w:val="00103761"/>
    <w:rsid w:val="001047D5"/>
    <w:rsid w:val="00110C84"/>
    <w:rsid w:val="00110E21"/>
    <w:rsid w:val="00112955"/>
    <w:rsid w:val="00112EC0"/>
    <w:rsid w:val="00113CB2"/>
    <w:rsid w:val="00121C1B"/>
    <w:rsid w:val="00122618"/>
    <w:rsid w:val="001227C3"/>
    <w:rsid w:val="00127395"/>
    <w:rsid w:val="00127624"/>
    <w:rsid w:val="00130B9B"/>
    <w:rsid w:val="00133A6C"/>
    <w:rsid w:val="00140181"/>
    <w:rsid w:val="001409F0"/>
    <w:rsid w:val="00140CF9"/>
    <w:rsid w:val="0014178C"/>
    <w:rsid w:val="001438FB"/>
    <w:rsid w:val="00144644"/>
    <w:rsid w:val="001464FF"/>
    <w:rsid w:val="001471CC"/>
    <w:rsid w:val="001478A5"/>
    <w:rsid w:val="00147B91"/>
    <w:rsid w:val="001521B9"/>
    <w:rsid w:val="00154853"/>
    <w:rsid w:val="00154B84"/>
    <w:rsid w:val="00155BB4"/>
    <w:rsid w:val="00155D45"/>
    <w:rsid w:val="00155DDB"/>
    <w:rsid w:val="00157AEC"/>
    <w:rsid w:val="00157F62"/>
    <w:rsid w:val="00162058"/>
    <w:rsid w:val="00162376"/>
    <w:rsid w:val="00162991"/>
    <w:rsid w:val="001632D3"/>
    <w:rsid w:val="001638E3"/>
    <w:rsid w:val="0016497A"/>
    <w:rsid w:val="00164BC9"/>
    <w:rsid w:val="0016563B"/>
    <w:rsid w:val="0016580A"/>
    <w:rsid w:val="001676A1"/>
    <w:rsid w:val="001703F7"/>
    <w:rsid w:val="00170F20"/>
    <w:rsid w:val="00171FE1"/>
    <w:rsid w:val="001720FA"/>
    <w:rsid w:val="00172466"/>
    <w:rsid w:val="00177388"/>
    <w:rsid w:val="00180958"/>
    <w:rsid w:val="001809E8"/>
    <w:rsid w:val="0018125B"/>
    <w:rsid w:val="0018125E"/>
    <w:rsid w:val="00181CF1"/>
    <w:rsid w:val="001825D7"/>
    <w:rsid w:val="00184A9B"/>
    <w:rsid w:val="00190CF9"/>
    <w:rsid w:val="001927F5"/>
    <w:rsid w:val="001935DE"/>
    <w:rsid w:val="00193616"/>
    <w:rsid w:val="0019489B"/>
    <w:rsid w:val="001A032C"/>
    <w:rsid w:val="001A1385"/>
    <w:rsid w:val="001A195E"/>
    <w:rsid w:val="001A4665"/>
    <w:rsid w:val="001A49A8"/>
    <w:rsid w:val="001A5872"/>
    <w:rsid w:val="001A6C59"/>
    <w:rsid w:val="001B0A23"/>
    <w:rsid w:val="001B2E62"/>
    <w:rsid w:val="001B3936"/>
    <w:rsid w:val="001B6030"/>
    <w:rsid w:val="001C1C61"/>
    <w:rsid w:val="001C4019"/>
    <w:rsid w:val="001C426C"/>
    <w:rsid w:val="001C50A4"/>
    <w:rsid w:val="001C6429"/>
    <w:rsid w:val="001D2BC1"/>
    <w:rsid w:val="001D3A77"/>
    <w:rsid w:val="001E12A7"/>
    <w:rsid w:val="001E2C8C"/>
    <w:rsid w:val="001E367E"/>
    <w:rsid w:val="001E5C9D"/>
    <w:rsid w:val="001E75FC"/>
    <w:rsid w:val="001E7E8F"/>
    <w:rsid w:val="001F18E7"/>
    <w:rsid w:val="001F3BA1"/>
    <w:rsid w:val="001F52A8"/>
    <w:rsid w:val="0020038B"/>
    <w:rsid w:val="00202D39"/>
    <w:rsid w:val="00205B51"/>
    <w:rsid w:val="002068A9"/>
    <w:rsid w:val="00210DC7"/>
    <w:rsid w:val="00211DC8"/>
    <w:rsid w:val="002126D3"/>
    <w:rsid w:val="002138C3"/>
    <w:rsid w:val="00214525"/>
    <w:rsid w:val="00214C34"/>
    <w:rsid w:val="0021530C"/>
    <w:rsid w:val="00215C4A"/>
    <w:rsid w:val="00215F82"/>
    <w:rsid w:val="0022046F"/>
    <w:rsid w:val="00221BE6"/>
    <w:rsid w:val="002225E1"/>
    <w:rsid w:val="00224508"/>
    <w:rsid w:val="0022648D"/>
    <w:rsid w:val="00226DE3"/>
    <w:rsid w:val="00232095"/>
    <w:rsid w:val="00232F4E"/>
    <w:rsid w:val="002333C8"/>
    <w:rsid w:val="00233DFC"/>
    <w:rsid w:val="00234AAB"/>
    <w:rsid w:val="00234FBF"/>
    <w:rsid w:val="0023681D"/>
    <w:rsid w:val="00240641"/>
    <w:rsid w:val="00240A0E"/>
    <w:rsid w:val="00241FFC"/>
    <w:rsid w:val="00244190"/>
    <w:rsid w:val="002465A2"/>
    <w:rsid w:val="002553C7"/>
    <w:rsid w:val="00257A2A"/>
    <w:rsid w:val="00257F3B"/>
    <w:rsid w:val="0026265F"/>
    <w:rsid w:val="00263964"/>
    <w:rsid w:val="002640D1"/>
    <w:rsid w:val="00265A68"/>
    <w:rsid w:val="00267BE3"/>
    <w:rsid w:val="0027071B"/>
    <w:rsid w:val="00273B16"/>
    <w:rsid w:val="002769FC"/>
    <w:rsid w:val="002823DB"/>
    <w:rsid w:val="00284D43"/>
    <w:rsid w:val="002877FB"/>
    <w:rsid w:val="00291E66"/>
    <w:rsid w:val="002A03D1"/>
    <w:rsid w:val="002A0991"/>
    <w:rsid w:val="002A18A6"/>
    <w:rsid w:val="002A1DE5"/>
    <w:rsid w:val="002A2CAB"/>
    <w:rsid w:val="002A75CC"/>
    <w:rsid w:val="002A79C7"/>
    <w:rsid w:val="002B44D1"/>
    <w:rsid w:val="002B7D9F"/>
    <w:rsid w:val="002C2572"/>
    <w:rsid w:val="002C4000"/>
    <w:rsid w:val="002C488C"/>
    <w:rsid w:val="002C4B55"/>
    <w:rsid w:val="002C70E4"/>
    <w:rsid w:val="002D5F59"/>
    <w:rsid w:val="002D7100"/>
    <w:rsid w:val="002E1C0F"/>
    <w:rsid w:val="002E2580"/>
    <w:rsid w:val="002E2D37"/>
    <w:rsid w:val="002E3360"/>
    <w:rsid w:val="002E6203"/>
    <w:rsid w:val="002E62E8"/>
    <w:rsid w:val="002F2203"/>
    <w:rsid w:val="002F2F57"/>
    <w:rsid w:val="002F6095"/>
    <w:rsid w:val="00302C6A"/>
    <w:rsid w:val="003059A5"/>
    <w:rsid w:val="00306760"/>
    <w:rsid w:val="003077D0"/>
    <w:rsid w:val="00307A99"/>
    <w:rsid w:val="00315041"/>
    <w:rsid w:val="00320D0A"/>
    <w:rsid w:val="00322E47"/>
    <w:rsid w:val="00324BD4"/>
    <w:rsid w:val="00324BE8"/>
    <w:rsid w:val="0032551F"/>
    <w:rsid w:val="0032559A"/>
    <w:rsid w:val="00327D0F"/>
    <w:rsid w:val="003316B9"/>
    <w:rsid w:val="00333A2F"/>
    <w:rsid w:val="0034031E"/>
    <w:rsid w:val="00342777"/>
    <w:rsid w:val="00347187"/>
    <w:rsid w:val="00350AE8"/>
    <w:rsid w:val="00350D7D"/>
    <w:rsid w:val="00351F2C"/>
    <w:rsid w:val="00352A7C"/>
    <w:rsid w:val="00355012"/>
    <w:rsid w:val="00356643"/>
    <w:rsid w:val="00357210"/>
    <w:rsid w:val="00362892"/>
    <w:rsid w:val="003666C9"/>
    <w:rsid w:val="00372C5E"/>
    <w:rsid w:val="00373FCA"/>
    <w:rsid w:val="00374EA6"/>
    <w:rsid w:val="00375054"/>
    <w:rsid w:val="0037520C"/>
    <w:rsid w:val="003759E4"/>
    <w:rsid w:val="003778E5"/>
    <w:rsid w:val="0038024A"/>
    <w:rsid w:val="00380753"/>
    <w:rsid w:val="00385667"/>
    <w:rsid w:val="00385A3C"/>
    <w:rsid w:val="003906C9"/>
    <w:rsid w:val="00391A41"/>
    <w:rsid w:val="0039250E"/>
    <w:rsid w:val="00393AC9"/>
    <w:rsid w:val="00394949"/>
    <w:rsid w:val="0039526B"/>
    <w:rsid w:val="00395418"/>
    <w:rsid w:val="003A24EC"/>
    <w:rsid w:val="003A2EDB"/>
    <w:rsid w:val="003A2FCD"/>
    <w:rsid w:val="003A5D84"/>
    <w:rsid w:val="003B0163"/>
    <w:rsid w:val="003B66CA"/>
    <w:rsid w:val="003B66D7"/>
    <w:rsid w:val="003B7814"/>
    <w:rsid w:val="003C0804"/>
    <w:rsid w:val="003C5EDE"/>
    <w:rsid w:val="003D086B"/>
    <w:rsid w:val="003D0BD5"/>
    <w:rsid w:val="003D167A"/>
    <w:rsid w:val="003D2082"/>
    <w:rsid w:val="003D513C"/>
    <w:rsid w:val="003D5E7E"/>
    <w:rsid w:val="003E0516"/>
    <w:rsid w:val="003E1FCC"/>
    <w:rsid w:val="003E2D7C"/>
    <w:rsid w:val="003E4F19"/>
    <w:rsid w:val="003E6269"/>
    <w:rsid w:val="003E6659"/>
    <w:rsid w:val="003E779A"/>
    <w:rsid w:val="003F0564"/>
    <w:rsid w:val="003F2809"/>
    <w:rsid w:val="003F5B35"/>
    <w:rsid w:val="003F6577"/>
    <w:rsid w:val="003F72CD"/>
    <w:rsid w:val="004009F4"/>
    <w:rsid w:val="0040170E"/>
    <w:rsid w:val="00401FF0"/>
    <w:rsid w:val="00402018"/>
    <w:rsid w:val="00404546"/>
    <w:rsid w:val="00404F1C"/>
    <w:rsid w:val="004054FD"/>
    <w:rsid w:val="00406858"/>
    <w:rsid w:val="00406CA6"/>
    <w:rsid w:val="0041025A"/>
    <w:rsid w:val="00410615"/>
    <w:rsid w:val="004132FF"/>
    <w:rsid w:val="00413535"/>
    <w:rsid w:val="00413A93"/>
    <w:rsid w:val="00413E01"/>
    <w:rsid w:val="00413FCB"/>
    <w:rsid w:val="004175DE"/>
    <w:rsid w:val="00422052"/>
    <w:rsid w:val="00422392"/>
    <w:rsid w:val="004225D1"/>
    <w:rsid w:val="00422D47"/>
    <w:rsid w:val="004237D3"/>
    <w:rsid w:val="00424812"/>
    <w:rsid w:val="004252DB"/>
    <w:rsid w:val="00432B0F"/>
    <w:rsid w:val="0043520E"/>
    <w:rsid w:val="00436C19"/>
    <w:rsid w:val="00437E51"/>
    <w:rsid w:val="004409F5"/>
    <w:rsid w:val="00443115"/>
    <w:rsid w:val="0044335F"/>
    <w:rsid w:val="00444B51"/>
    <w:rsid w:val="00445547"/>
    <w:rsid w:val="00445BF6"/>
    <w:rsid w:val="004468DD"/>
    <w:rsid w:val="004520E8"/>
    <w:rsid w:val="00452465"/>
    <w:rsid w:val="00457405"/>
    <w:rsid w:val="00457427"/>
    <w:rsid w:val="00460E64"/>
    <w:rsid w:val="00464189"/>
    <w:rsid w:val="00465F4A"/>
    <w:rsid w:val="00467815"/>
    <w:rsid w:val="004714C9"/>
    <w:rsid w:val="00472EFB"/>
    <w:rsid w:val="004736FD"/>
    <w:rsid w:val="00473BA0"/>
    <w:rsid w:val="00474B68"/>
    <w:rsid w:val="00475994"/>
    <w:rsid w:val="00475C0E"/>
    <w:rsid w:val="004769B6"/>
    <w:rsid w:val="00477DC6"/>
    <w:rsid w:val="00481BB1"/>
    <w:rsid w:val="00481D75"/>
    <w:rsid w:val="004829F7"/>
    <w:rsid w:val="00483DC6"/>
    <w:rsid w:val="00486CA7"/>
    <w:rsid w:val="0048784D"/>
    <w:rsid w:val="0049078E"/>
    <w:rsid w:val="00490A3B"/>
    <w:rsid w:val="00492966"/>
    <w:rsid w:val="00493CE5"/>
    <w:rsid w:val="004951EE"/>
    <w:rsid w:val="004966E7"/>
    <w:rsid w:val="0049748E"/>
    <w:rsid w:val="00497BDD"/>
    <w:rsid w:val="004A423A"/>
    <w:rsid w:val="004A4D1E"/>
    <w:rsid w:val="004A5AC2"/>
    <w:rsid w:val="004A6A2C"/>
    <w:rsid w:val="004B0436"/>
    <w:rsid w:val="004B0A6E"/>
    <w:rsid w:val="004B1947"/>
    <w:rsid w:val="004B3B25"/>
    <w:rsid w:val="004B697E"/>
    <w:rsid w:val="004C0880"/>
    <w:rsid w:val="004C7D0D"/>
    <w:rsid w:val="004D0783"/>
    <w:rsid w:val="004D1451"/>
    <w:rsid w:val="004D1DAD"/>
    <w:rsid w:val="004D2F4C"/>
    <w:rsid w:val="004D4F9F"/>
    <w:rsid w:val="004D5465"/>
    <w:rsid w:val="004D5974"/>
    <w:rsid w:val="004D7E69"/>
    <w:rsid w:val="004E4026"/>
    <w:rsid w:val="004E713D"/>
    <w:rsid w:val="004E7317"/>
    <w:rsid w:val="004F0B6B"/>
    <w:rsid w:val="004F2B03"/>
    <w:rsid w:val="004F514C"/>
    <w:rsid w:val="004F6401"/>
    <w:rsid w:val="004F6926"/>
    <w:rsid w:val="00501DB1"/>
    <w:rsid w:val="00502723"/>
    <w:rsid w:val="005036ED"/>
    <w:rsid w:val="00506E8A"/>
    <w:rsid w:val="00511059"/>
    <w:rsid w:val="005115E2"/>
    <w:rsid w:val="005170DA"/>
    <w:rsid w:val="0051787F"/>
    <w:rsid w:val="00520624"/>
    <w:rsid w:val="005223EC"/>
    <w:rsid w:val="0052251C"/>
    <w:rsid w:val="00522F69"/>
    <w:rsid w:val="005230B0"/>
    <w:rsid w:val="0052478E"/>
    <w:rsid w:val="005255B1"/>
    <w:rsid w:val="00530CFB"/>
    <w:rsid w:val="005376CB"/>
    <w:rsid w:val="00542C2E"/>
    <w:rsid w:val="00543514"/>
    <w:rsid w:val="00543AFF"/>
    <w:rsid w:val="00545990"/>
    <w:rsid w:val="00552CE6"/>
    <w:rsid w:val="00552F86"/>
    <w:rsid w:val="00554F29"/>
    <w:rsid w:val="00560BC1"/>
    <w:rsid w:val="00563D58"/>
    <w:rsid w:val="00563E8C"/>
    <w:rsid w:val="00564427"/>
    <w:rsid w:val="00566D84"/>
    <w:rsid w:val="0056705E"/>
    <w:rsid w:val="00570268"/>
    <w:rsid w:val="00570FE0"/>
    <w:rsid w:val="00573E68"/>
    <w:rsid w:val="00575980"/>
    <w:rsid w:val="00580A3B"/>
    <w:rsid w:val="00585699"/>
    <w:rsid w:val="00586D3E"/>
    <w:rsid w:val="0059036F"/>
    <w:rsid w:val="005904C6"/>
    <w:rsid w:val="0059130D"/>
    <w:rsid w:val="00592F73"/>
    <w:rsid w:val="005946E7"/>
    <w:rsid w:val="005A0C91"/>
    <w:rsid w:val="005A1AAA"/>
    <w:rsid w:val="005A1E27"/>
    <w:rsid w:val="005A3762"/>
    <w:rsid w:val="005A46EF"/>
    <w:rsid w:val="005A4971"/>
    <w:rsid w:val="005A5868"/>
    <w:rsid w:val="005A75A6"/>
    <w:rsid w:val="005B0CA0"/>
    <w:rsid w:val="005B158D"/>
    <w:rsid w:val="005B15AB"/>
    <w:rsid w:val="005B2488"/>
    <w:rsid w:val="005B27C4"/>
    <w:rsid w:val="005B32E0"/>
    <w:rsid w:val="005B337C"/>
    <w:rsid w:val="005B7CEA"/>
    <w:rsid w:val="005C0907"/>
    <w:rsid w:val="005C0C80"/>
    <w:rsid w:val="005C1409"/>
    <w:rsid w:val="005C146B"/>
    <w:rsid w:val="005C16EA"/>
    <w:rsid w:val="005C2E7D"/>
    <w:rsid w:val="005C40FE"/>
    <w:rsid w:val="005C7D1F"/>
    <w:rsid w:val="005D20FF"/>
    <w:rsid w:val="005D289B"/>
    <w:rsid w:val="005D3656"/>
    <w:rsid w:val="005D694C"/>
    <w:rsid w:val="005E2803"/>
    <w:rsid w:val="005E2ACC"/>
    <w:rsid w:val="005E34B1"/>
    <w:rsid w:val="005E3DA8"/>
    <w:rsid w:val="005E72AD"/>
    <w:rsid w:val="005E7998"/>
    <w:rsid w:val="005F3EE1"/>
    <w:rsid w:val="005F6AEB"/>
    <w:rsid w:val="00601B25"/>
    <w:rsid w:val="00602778"/>
    <w:rsid w:val="00604E26"/>
    <w:rsid w:val="00605B8E"/>
    <w:rsid w:val="00606785"/>
    <w:rsid w:val="00606ADE"/>
    <w:rsid w:val="006100F7"/>
    <w:rsid w:val="006125E8"/>
    <w:rsid w:val="0062043F"/>
    <w:rsid w:val="0062101A"/>
    <w:rsid w:val="0062422D"/>
    <w:rsid w:val="0062607C"/>
    <w:rsid w:val="006279A5"/>
    <w:rsid w:val="006302E3"/>
    <w:rsid w:val="006362BB"/>
    <w:rsid w:val="00636D5B"/>
    <w:rsid w:val="00637878"/>
    <w:rsid w:val="006423A2"/>
    <w:rsid w:val="00643217"/>
    <w:rsid w:val="006432FE"/>
    <w:rsid w:val="006447A4"/>
    <w:rsid w:val="0065019E"/>
    <w:rsid w:val="00652421"/>
    <w:rsid w:val="00660E6C"/>
    <w:rsid w:val="0066189D"/>
    <w:rsid w:val="00661CE0"/>
    <w:rsid w:val="00663AC5"/>
    <w:rsid w:val="006666EF"/>
    <w:rsid w:val="0066698A"/>
    <w:rsid w:val="00672C67"/>
    <w:rsid w:val="006739D5"/>
    <w:rsid w:val="00673AD4"/>
    <w:rsid w:val="0067406C"/>
    <w:rsid w:val="00677932"/>
    <w:rsid w:val="00680E27"/>
    <w:rsid w:val="006812A7"/>
    <w:rsid w:val="00682B14"/>
    <w:rsid w:val="00682E37"/>
    <w:rsid w:val="0068691B"/>
    <w:rsid w:val="00687261"/>
    <w:rsid w:val="0068764A"/>
    <w:rsid w:val="006902C6"/>
    <w:rsid w:val="00692FA4"/>
    <w:rsid w:val="00694C02"/>
    <w:rsid w:val="006A1C5C"/>
    <w:rsid w:val="006A1FF5"/>
    <w:rsid w:val="006A2441"/>
    <w:rsid w:val="006A34E0"/>
    <w:rsid w:val="006A6BD5"/>
    <w:rsid w:val="006A7E6E"/>
    <w:rsid w:val="006B1DB1"/>
    <w:rsid w:val="006B3F79"/>
    <w:rsid w:val="006B4689"/>
    <w:rsid w:val="006B4D5F"/>
    <w:rsid w:val="006C1069"/>
    <w:rsid w:val="006C2045"/>
    <w:rsid w:val="006C274B"/>
    <w:rsid w:val="006C7601"/>
    <w:rsid w:val="006D17E8"/>
    <w:rsid w:val="006D1D2B"/>
    <w:rsid w:val="006D622E"/>
    <w:rsid w:val="006E36F9"/>
    <w:rsid w:val="006E40F2"/>
    <w:rsid w:val="006E485C"/>
    <w:rsid w:val="006E4BEE"/>
    <w:rsid w:val="006E7468"/>
    <w:rsid w:val="006F1678"/>
    <w:rsid w:val="006F1EEC"/>
    <w:rsid w:val="006F2300"/>
    <w:rsid w:val="006F2BB1"/>
    <w:rsid w:val="00702581"/>
    <w:rsid w:val="00704D9C"/>
    <w:rsid w:val="00710D9E"/>
    <w:rsid w:val="00711B5F"/>
    <w:rsid w:val="007140D4"/>
    <w:rsid w:val="007204D5"/>
    <w:rsid w:val="00720735"/>
    <w:rsid w:val="00724951"/>
    <w:rsid w:val="00725578"/>
    <w:rsid w:val="0072789D"/>
    <w:rsid w:val="00736DB2"/>
    <w:rsid w:val="0074003F"/>
    <w:rsid w:val="007417E8"/>
    <w:rsid w:val="00742965"/>
    <w:rsid w:val="00742BAD"/>
    <w:rsid w:val="00745330"/>
    <w:rsid w:val="00755C23"/>
    <w:rsid w:val="0075657B"/>
    <w:rsid w:val="00756CDC"/>
    <w:rsid w:val="00757FF5"/>
    <w:rsid w:val="0076208F"/>
    <w:rsid w:val="0076256F"/>
    <w:rsid w:val="00762724"/>
    <w:rsid w:val="0076287B"/>
    <w:rsid w:val="00763ECA"/>
    <w:rsid w:val="00766D85"/>
    <w:rsid w:val="0076715F"/>
    <w:rsid w:val="007708D4"/>
    <w:rsid w:val="007722BE"/>
    <w:rsid w:val="00772F95"/>
    <w:rsid w:val="0077403B"/>
    <w:rsid w:val="00785244"/>
    <w:rsid w:val="00791CA2"/>
    <w:rsid w:val="007964D6"/>
    <w:rsid w:val="007975A8"/>
    <w:rsid w:val="007977F2"/>
    <w:rsid w:val="007A217D"/>
    <w:rsid w:val="007A2B7B"/>
    <w:rsid w:val="007A3A81"/>
    <w:rsid w:val="007A3FBC"/>
    <w:rsid w:val="007A48B5"/>
    <w:rsid w:val="007A4C92"/>
    <w:rsid w:val="007A756C"/>
    <w:rsid w:val="007B1610"/>
    <w:rsid w:val="007B1677"/>
    <w:rsid w:val="007B1BA1"/>
    <w:rsid w:val="007B2380"/>
    <w:rsid w:val="007B3BAA"/>
    <w:rsid w:val="007B6BCA"/>
    <w:rsid w:val="007B7DEB"/>
    <w:rsid w:val="007B7EEB"/>
    <w:rsid w:val="007C34D7"/>
    <w:rsid w:val="007C675C"/>
    <w:rsid w:val="007C7DAF"/>
    <w:rsid w:val="007D1F68"/>
    <w:rsid w:val="007D3421"/>
    <w:rsid w:val="007D4783"/>
    <w:rsid w:val="007D7E4A"/>
    <w:rsid w:val="007E1EFB"/>
    <w:rsid w:val="007F116B"/>
    <w:rsid w:val="007F2AC9"/>
    <w:rsid w:val="007F37E6"/>
    <w:rsid w:val="007F3B54"/>
    <w:rsid w:val="00800A23"/>
    <w:rsid w:val="00800A74"/>
    <w:rsid w:val="008045C4"/>
    <w:rsid w:val="00804A70"/>
    <w:rsid w:val="00805D3F"/>
    <w:rsid w:val="008110B9"/>
    <w:rsid w:val="00812D85"/>
    <w:rsid w:val="008133F6"/>
    <w:rsid w:val="00815D94"/>
    <w:rsid w:val="00816B80"/>
    <w:rsid w:val="00816EAE"/>
    <w:rsid w:val="00823270"/>
    <w:rsid w:val="00825226"/>
    <w:rsid w:val="00825E5F"/>
    <w:rsid w:val="00827AD1"/>
    <w:rsid w:val="00834773"/>
    <w:rsid w:val="00835C23"/>
    <w:rsid w:val="00836163"/>
    <w:rsid w:val="00836E62"/>
    <w:rsid w:val="00837544"/>
    <w:rsid w:val="008413E1"/>
    <w:rsid w:val="00841FB6"/>
    <w:rsid w:val="00845249"/>
    <w:rsid w:val="00845517"/>
    <w:rsid w:val="00845565"/>
    <w:rsid w:val="0084568C"/>
    <w:rsid w:val="0084625E"/>
    <w:rsid w:val="008465FA"/>
    <w:rsid w:val="00846901"/>
    <w:rsid w:val="00847941"/>
    <w:rsid w:val="008515A5"/>
    <w:rsid w:val="00851DE9"/>
    <w:rsid w:val="00856290"/>
    <w:rsid w:val="00861809"/>
    <w:rsid w:val="00862380"/>
    <w:rsid w:val="00862414"/>
    <w:rsid w:val="0086285E"/>
    <w:rsid w:val="008630D9"/>
    <w:rsid w:val="00863F0C"/>
    <w:rsid w:val="00870FFA"/>
    <w:rsid w:val="008719F9"/>
    <w:rsid w:val="00871B4C"/>
    <w:rsid w:val="0087499A"/>
    <w:rsid w:val="00876545"/>
    <w:rsid w:val="00877D42"/>
    <w:rsid w:val="008800F0"/>
    <w:rsid w:val="008802E5"/>
    <w:rsid w:val="00886973"/>
    <w:rsid w:val="0089302F"/>
    <w:rsid w:val="008976A1"/>
    <w:rsid w:val="00897A99"/>
    <w:rsid w:val="008A2BFD"/>
    <w:rsid w:val="008A7FCE"/>
    <w:rsid w:val="008B3173"/>
    <w:rsid w:val="008B38A9"/>
    <w:rsid w:val="008B6330"/>
    <w:rsid w:val="008B63C3"/>
    <w:rsid w:val="008B66A4"/>
    <w:rsid w:val="008B7A29"/>
    <w:rsid w:val="008B7A89"/>
    <w:rsid w:val="008C096D"/>
    <w:rsid w:val="008C4D5D"/>
    <w:rsid w:val="008C6D43"/>
    <w:rsid w:val="008C7EA0"/>
    <w:rsid w:val="008D42EF"/>
    <w:rsid w:val="008D4341"/>
    <w:rsid w:val="008D6919"/>
    <w:rsid w:val="008E7A1C"/>
    <w:rsid w:val="008F1D1F"/>
    <w:rsid w:val="008F6388"/>
    <w:rsid w:val="008F6C2B"/>
    <w:rsid w:val="0090375E"/>
    <w:rsid w:val="00906646"/>
    <w:rsid w:val="00910446"/>
    <w:rsid w:val="009108FC"/>
    <w:rsid w:val="00910FA0"/>
    <w:rsid w:val="00911123"/>
    <w:rsid w:val="0091688E"/>
    <w:rsid w:val="00920650"/>
    <w:rsid w:val="00923801"/>
    <w:rsid w:val="00926146"/>
    <w:rsid w:val="0092672E"/>
    <w:rsid w:val="00927159"/>
    <w:rsid w:val="0092792C"/>
    <w:rsid w:val="00930380"/>
    <w:rsid w:val="00930FD4"/>
    <w:rsid w:val="00935191"/>
    <w:rsid w:val="009409F8"/>
    <w:rsid w:val="00943704"/>
    <w:rsid w:val="0094636F"/>
    <w:rsid w:val="00950105"/>
    <w:rsid w:val="00953A7C"/>
    <w:rsid w:val="009551BC"/>
    <w:rsid w:val="0096139C"/>
    <w:rsid w:val="00963076"/>
    <w:rsid w:val="00965346"/>
    <w:rsid w:val="00966EEB"/>
    <w:rsid w:val="009704CA"/>
    <w:rsid w:val="00970CC8"/>
    <w:rsid w:val="00973BC4"/>
    <w:rsid w:val="00977017"/>
    <w:rsid w:val="009775F5"/>
    <w:rsid w:val="009920FA"/>
    <w:rsid w:val="00992427"/>
    <w:rsid w:val="009926F7"/>
    <w:rsid w:val="00993345"/>
    <w:rsid w:val="00994C6D"/>
    <w:rsid w:val="0099739D"/>
    <w:rsid w:val="009A0CF9"/>
    <w:rsid w:val="009A240E"/>
    <w:rsid w:val="009A31B8"/>
    <w:rsid w:val="009A3843"/>
    <w:rsid w:val="009A3FE2"/>
    <w:rsid w:val="009A4E4C"/>
    <w:rsid w:val="009A4F22"/>
    <w:rsid w:val="009A5E28"/>
    <w:rsid w:val="009A78B1"/>
    <w:rsid w:val="009A7E61"/>
    <w:rsid w:val="009B4320"/>
    <w:rsid w:val="009B5661"/>
    <w:rsid w:val="009B5E23"/>
    <w:rsid w:val="009C0EBC"/>
    <w:rsid w:val="009C13A4"/>
    <w:rsid w:val="009C145D"/>
    <w:rsid w:val="009C2409"/>
    <w:rsid w:val="009C389B"/>
    <w:rsid w:val="009C7149"/>
    <w:rsid w:val="009D12EF"/>
    <w:rsid w:val="009D4667"/>
    <w:rsid w:val="009D6871"/>
    <w:rsid w:val="009D6A41"/>
    <w:rsid w:val="009E023A"/>
    <w:rsid w:val="009E037F"/>
    <w:rsid w:val="009E0B6D"/>
    <w:rsid w:val="009E100A"/>
    <w:rsid w:val="009E10D6"/>
    <w:rsid w:val="009E37A2"/>
    <w:rsid w:val="009E6871"/>
    <w:rsid w:val="009E7BAE"/>
    <w:rsid w:val="009F0D6F"/>
    <w:rsid w:val="009F25CE"/>
    <w:rsid w:val="009F42AE"/>
    <w:rsid w:val="009F7693"/>
    <w:rsid w:val="00A00384"/>
    <w:rsid w:val="00A00D9A"/>
    <w:rsid w:val="00A0157C"/>
    <w:rsid w:val="00A04F8F"/>
    <w:rsid w:val="00A066E6"/>
    <w:rsid w:val="00A12DC9"/>
    <w:rsid w:val="00A13948"/>
    <w:rsid w:val="00A1518E"/>
    <w:rsid w:val="00A16812"/>
    <w:rsid w:val="00A16B58"/>
    <w:rsid w:val="00A16C7B"/>
    <w:rsid w:val="00A21200"/>
    <w:rsid w:val="00A21DA9"/>
    <w:rsid w:val="00A26C8E"/>
    <w:rsid w:val="00A3063D"/>
    <w:rsid w:val="00A30C57"/>
    <w:rsid w:val="00A3702B"/>
    <w:rsid w:val="00A40979"/>
    <w:rsid w:val="00A467CB"/>
    <w:rsid w:val="00A51C7D"/>
    <w:rsid w:val="00A5204E"/>
    <w:rsid w:val="00A537AB"/>
    <w:rsid w:val="00A54C37"/>
    <w:rsid w:val="00A551D9"/>
    <w:rsid w:val="00A5677E"/>
    <w:rsid w:val="00A67A41"/>
    <w:rsid w:val="00A67C94"/>
    <w:rsid w:val="00A72532"/>
    <w:rsid w:val="00A7395E"/>
    <w:rsid w:val="00A75328"/>
    <w:rsid w:val="00A75DAD"/>
    <w:rsid w:val="00A802CC"/>
    <w:rsid w:val="00A80DD9"/>
    <w:rsid w:val="00A812ED"/>
    <w:rsid w:val="00A81632"/>
    <w:rsid w:val="00A847E8"/>
    <w:rsid w:val="00A85296"/>
    <w:rsid w:val="00A85364"/>
    <w:rsid w:val="00A86A07"/>
    <w:rsid w:val="00A86E39"/>
    <w:rsid w:val="00A9037A"/>
    <w:rsid w:val="00A96663"/>
    <w:rsid w:val="00A969B5"/>
    <w:rsid w:val="00AA1FB4"/>
    <w:rsid w:val="00AA2BA8"/>
    <w:rsid w:val="00AA4633"/>
    <w:rsid w:val="00AA4895"/>
    <w:rsid w:val="00AA5866"/>
    <w:rsid w:val="00AA7926"/>
    <w:rsid w:val="00AB12C8"/>
    <w:rsid w:val="00AB1A7D"/>
    <w:rsid w:val="00AB5A5C"/>
    <w:rsid w:val="00AB5D89"/>
    <w:rsid w:val="00AB6186"/>
    <w:rsid w:val="00AB646F"/>
    <w:rsid w:val="00AB6988"/>
    <w:rsid w:val="00AB6A2F"/>
    <w:rsid w:val="00AC0AFC"/>
    <w:rsid w:val="00AC182F"/>
    <w:rsid w:val="00AC18B4"/>
    <w:rsid w:val="00AC376C"/>
    <w:rsid w:val="00AC45AD"/>
    <w:rsid w:val="00AD452C"/>
    <w:rsid w:val="00AD506E"/>
    <w:rsid w:val="00AD5736"/>
    <w:rsid w:val="00AD6C29"/>
    <w:rsid w:val="00AE1161"/>
    <w:rsid w:val="00AE2C69"/>
    <w:rsid w:val="00AE361F"/>
    <w:rsid w:val="00AE3A86"/>
    <w:rsid w:val="00AE3E0F"/>
    <w:rsid w:val="00AE58CC"/>
    <w:rsid w:val="00AE5A68"/>
    <w:rsid w:val="00AE6031"/>
    <w:rsid w:val="00AE6AFB"/>
    <w:rsid w:val="00AF0B2E"/>
    <w:rsid w:val="00AF0E08"/>
    <w:rsid w:val="00AF11ED"/>
    <w:rsid w:val="00AF15D4"/>
    <w:rsid w:val="00AF3ABC"/>
    <w:rsid w:val="00AF3E76"/>
    <w:rsid w:val="00AF45B5"/>
    <w:rsid w:val="00B06C3C"/>
    <w:rsid w:val="00B07478"/>
    <w:rsid w:val="00B106A8"/>
    <w:rsid w:val="00B12D02"/>
    <w:rsid w:val="00B13826"/>
    <w:rsid w:val="00B1787A"/>
    <w:rsid w:val="00B20C37"/>
    <w:rsid w:val="00B20FC8"/>
    <w:rsid w:val="00B24E32"/>
    <w:rsid w:val="00B3181A"/>
    <w:rsid w:val="00B32691"/>
    <w:rsid w:val="00B34D39"/>
    <w:rsid w:val="00B360F3"/>
    <w:rsid w:val="00B426AA"/>
    <w:rsid w:val="00B44129"/>
    <w:rsid w:val="00B46875"/>
    <w:rsid w:val="00B50297"/>
    <w:rsid w:val="00B5282C"/>
    <w:rsid w:val="00B52F4C"/>
    <w:rsid w:val="00B545A5"/>
    <w:rsid w:val="00B55A53"/>
    <w:rsid w:val="00B6127A"/>
    <w:rsid w:val="00B61B0D"/>
    <w:rsid w:val="00B64452"/>
    <w:rsid w:val="00B6486D"/>
    <w:rsid w:val="00B651A8"/>
    <w:rsid w:val="00B66632"/>
    <w:rsid w:val="00B66E08"/>
    <w:rsid w:val="00B72440"/>
    <w:rsid w:val="00B73144"/>
    <w:rsid w:val="00B80A2A"/>
    <w:rsid w:val="00B81E3B"/>
    <w:rsid w:val="00B8203F"/>
    <w:rsid w:val="00B82521"/>
    <w:rsid w:val="00B828AD"/>
    <w:rsid w:val="00B834FB"/>
    <w:rsid w:val="00B845BE"/>
    <w:rsid w:val="00B86681"/>
    <w:rsid w:val="00B8786E"/>
    <w:rsid w:val="00B87BF3"/>
    <w:rsid w:val="00B9121C"/>
    <w:rsid w:val="00B96A53"/>
    <w:rsid w:val="00B96C40"/>
    <w:rsid w:val="00BA10A6"/>
    <w:rsid w:val="00BA13C4"/>
    <w:rsid w:val="00BA47B5"/>
    <w:rsid w:val="00BA5270"/>
    <w:rsid w:val="00BA6AA0"/>
    <w:rsid w:val="00BA7750"/>
    <w:rsid w:val="00BB104B"/>
    <w:rsid w:val="00BB1255"/>
    <w:rsid w:val="00BB14CF"/>
    <w:rsid w:val="00BB29DB"/>
    <w:rsid w:val="00BB2E85"/>
    <w:rsid w:val="00BB3353"/>
    <w:rsid w:val="00BB37E5"/>
    <w:rsid w:val="00BB3B83"/>
    <w:rsid w:val="00BB44F8"/>
    <w:rsid w:val="00BB5871"/>
    <w:rsid w:val="00BB7CC9"/>
    <w:rsid w:val="00BC2297"/>
    <w:rsid w:val="00BC2D92"/>
    <w:rsid w:val="00BC42E7"/>
    <w:rsid w:val="00BC44EF"/>
    <w:rsid w:val="00BC7FA2"/>
    <w:rsid w:val="00BD0910"/>
    <w:rsid w:val="00BD12C5"/>
    <w:rsid w:val="00BD24F8"/>
    <w:rsid w:val="00BD36A1"/>
    <w:rsid w:val="00BD3CD8"/>
    <w:rsid w:val="00BD5465"/>
    <w:rsid w:val="00BD7A76"/>
    <w:rsid w:val="00BE0F73"/>
    <w:rsid w:val="00BE3963"/>
    <w:rsid w:val="00BE3D57"/>
    <w:rsid w:val="00BE4633"/>
    <w:rsid w:val="00BE5167"/>
    <w:rsid w:val="00BE643F"/>
    <w:rsid w:val="00BF034A"/>
    <w:rsid w:val="00BF1B72"/>
    <w:rsid w:val="00BF4877"/>
    <w:rsid w:val="00BF576D"/>
    <w:rsid w:val="00C0306B"/>
    <w:rsid w:val="00C04453"/>
    <w:rsid w:val="00C05097"/>
    <w:rsid w:val="00C123A2"/>
    <w:rsid w:val="00C124B4"/>
    <w:rsid w:val="00C15786"/>
    <w:rsid w:val="00C1677D"/>
    <w:rsid w:val="00C17DA8"/>
    <w:rsid w:val="00C20F7E"/>
    <w:rsid w:val="00C2369E"/>
    <w:rsid w:val="00C23DD9"/>
    <w:rsid w:val="00C30427"/>
    <w:rsid w:val="00C310B4"/>
    <w:rsid w:val="00C3157D"/>
    <w:rsid w:val="00C31A5A"/>
    <w:rsid w:val="00C31DD4"/>
    <w:rsid w:val="00C34280"/>
    <w:rsid w:val="00C37180"/>
    <w:rsid w:val="00C3748D"/>
    <w:rsid w:val="00C417EE"/>
    <w:rsid w:val="00C4691E"/>
    <w:rsid w:val="00C47C26"/>
    <w:rsid w:val="00C47F03"/>
    <w:rsid w:val="00C507CF"/>
    <w:rsid w:val="00C54291"/>
    <w:rsid w:val="00C57C68"/>
    <w:rsid w:val="00C607E3"/>
    <w:rsid w:val="00C60A27"/>
    <w:rsid w:val="00C614F7"/>
    <w:rsid w:val="00C615DF"/>
    <w:rsid w:val="00C7033A"/>
    <w:rsid w:val="00C73E80"/>
    <w:rsid w:val="00C747DE"/>
    <w:rsid w:val="00C75CE5"/>
    <w:rsid w:val="00C77EBE"/>
    <w:rsid w:val="00C80921"/>
    <w:rsid w:val="00C81F68"/>
    <w:rsid w:val="00C8305E"/>
    <w:rsid w:val="00C834C8"/>
    <w:rsid w:val="00C84826"/>
    <w:rsid w:val="00C91208"/>
    <w:rsid w:val="00C92A9D"/>
    <w:rsid w:val="00C96049"/>
    <w:rsid w:val="00C9788E"/>
    <w:rsid w:val="00CB0512"/>
    <w:rsid w:val="00CB16B3"/>
    <w:rsid w:val="00CB4871"/>
    <w:rsid w:val="00CB6BFF"/>
    <w:rsid w:val="00CC191E"/>
    <w:rsid w:val="00CC287D"/>
    <w:rsid w:val="00CC3DFD"/>
    <w:rsid w:val="00CC63A5"/>
    <w:rsid w:val="00CC6C6E"/>
    <w:rsid w:val="00CD3096"/>
    <w:rsid w:val="00CD3F0B"/>
    <w:rsid w:val="00CD41E8"/>
    <w:rsid w:val="00CD76F1"/>
    <w:rsid w:val="00CE10C7"/>
    <w:rsid w:val="00CE1807"/>
    <w:rsid w:val="00CE21B3"/>
    <w:rsid w:val="00CE297C"/>
    <w:rsid w:val="00CF119E"/>
    <w:rsid w:val="00CF199D"/>
    <w:rsid w:val="00CF211A"/>
    <w:rsid w:val="00CF6DE3"/>
    <w:rsid w:val="00D01832"/>
    <w:rsid w:val="00D018AF"/>
    <w:rsid w:val="00D06379"/>
    <w:rsid w:val="00D06A90"/>
    <w:rsid w:val="00D12393"/>
    <w:rsid w:val="00D158F0"/>
    <w:rsid w:val="00D16627"/>
    <w:rsid w:val="00D17915"/>
    <w:rsid w:val="00D22D09"/>
    <w:rsid w:val="00D2396C"/>
    <w:rsid w:val="00D23A7E"/>
    <w:rsid w:val="00D249EA"/>
    <w:rsid w:val="00D320CE"/>
    <w:rsid w:val="00D33036"/>
    <w:rsid w:val="00D3529D"/>
    <w:rsid w:val="00D436A8"/>
    <w:rsid w:val="00D43E8A"/>
    <w:rsid w:val="00D45CFB"/>
    <w:rsid w:val="00D52FD2"/>
    <w:rsid w:val="00D532D3"/>
    <w:rsid w:val="00D552EA"/>
    <w:rsid w:val="00D601CA"/>
    <w:rsid w:val="00D61152"/>
    <w:rsid w:val="00D62250"/>
    <w:rsid w:val="00D631E7"/>
    <w:rsid w:val="00D63416"/>
    <w:rsid w:val="00D725CC"/>
    <w:rsid w:val="00D73256"/>
    <w:rsid w:val="00D741E3"/>
    <w:rsid w:val="00D80401"/>
    <w:rsid w:val="00D83F02"/>
    <w:rsid w:val="00D85F0A"/>
    <w:rsid w:val="00D868A6"/>
    <w:rsid w:val="00D86B48"/>
    <w:rsid w:val="00D86E6E"/>
    <w:rsid w:val="00D87446"/>
    <w:rsid w:val="00D927F6"/>
    <w:rsid w:val="00D94B28"/>
    <w:rsid w:val="00D960CC"/>
    <w:rsid w:val="00D96841"/>
    <w:rsid w:val="00DA1329"/>
    <w:rsid w:val="00DA225C"/>
    <w:rsid w:val="00DA226D"/>
    <w:rsid w:val="00DA2984"/>
    <w:rsid w:val="00DA2B75"/>
    <w:rsid w:val="00DA5651"/>
    <w:rsid w:val="00DA6314"/>
    <w:rsid w:val="00DB18D7"/>
    <w:rsid w:val="00DB3A78"/>
    <w:rsid w:val="00DB3AD8"/>
    <w:rsid w:val="00DB4EA1"/>
    <w:rsid w:val="00DB690D"/>
    <w:rsid w:val="00DB6F68"/>
    <w:rsid w:val="00DC0F5E"/>
    <w:rsid w:val="00DC681B"/>
    <w:rsid w:val="00DC7A1D"/>
    <w:rsid w:val="00DD29C0"/>
    <w:rsid w:val="00DD2BD1"/>
    <w:rsid w:val="00DD3114"/>
    <w:rsid w:val="00DD3452"/>
    <w:rsid w:val="00DD4CD7"/>
    <w:rsid w:val="00DD504C"/>
    <w:rsid w:val="00DD5F9A"/>
    <w:rsid w:val="00DD6440"/>
    <w:rsid w:val="00DD6E10"/>
    <w:rsid w:val="00DD791F"/>
    <w:rsid w:val="00DE2619"/>
    <w:rsid w:val="00DE3A37"/>
    <w:rsid w:val="00DF08AF"/>
    <w:rsid w:val="00DF12EA"/>
    <w:rsid w:val="00DF19DD"/>
    <w:rsid w:val="00DF4710"/>
    <w:rsid w:val="00DF48CC"/>
    <w:rsid w:val="00DF5012"/>
    <w:rsid w:val="00E0256D"/>
    <w:rsid w:val="00E0339F"/>
    <w:rsid w:val="00E041A1"/>
    <w:rsid w:val="00E057E3"/>
    <w:rsid w:val="00E1028C"/>
    <w:rsid w:val="00E11D51"/>
    <w:rsid w:val="00E15AE8"/>
    <w:rsid w:val="00E230A1"/>
    <w:rsid w:val="00E2455D"/>
    <w:rsid w:val="00E2498D"/>
    <w:rsid w:val="00E27320"/>
    <w:rsid w:val="00E301FA"/>
    <w:rsid w:val="00E328BB"/>
    <w:rsid w:val="00E32EB2"/>
    <w:rsid w:val="00E40AAD"/>
    <w:rsid w:val="00E443CF"/>
    <w:rsid w:val="00E50110"/>
    <w:rsid w:val="00E51491"/>
    <w:rsid w:val="00E53619"/>
    <w:rsid w:val="00E56456"/>
    <w:rsid w:val="00E61815"/>
    <w:rsid w:val="00E65265"/>
    <w:rsid w:val="00E706B1"/>
    <w:rsid w:val="00E719FC"/>
    <w:rsid w:val="00E7274A"/>
    <w:rsid w:val="00E7489A"/>
    <w:rsid w:val="00E75427"/>
    <w:rsid w:val="00E76E1E"/>
    <w:rsid w:val="00E814CF"/>
    <w:rsid w:val="00E83908"/>
    <w:rsid w:val="00E85FB8"/>
    <w:rsid w:val="00E87E1C"/>
    <w:rsid w:val="00E9195C"/>
    <w:rsid w:val="00E94C02"/>
    <w:rsid w:val="00E94E25"/>
    <w:rsid w:val="00E95737"/>
    <w:rsid w:val="00EA18CA"/>
    <w:rsid w:val="00EA2FC2"/>
    <w:rsid w:val="00EA383B"/>
    <w:rsid w:val="00EA3E5D"/>
    <w:rsid w:val="00EA47EA"/>
    <w:rsid w:val="00EA5D9B"/>
    <w:rsid w:val="00EA6CB1"/>
    <w:rsid w:val="00EB1BC2"/>
    <w:rsid w:val="00EB2710"/>
    <w:rsid w:val="00EB7B61"/>
    <w:rsid w:val="00EC19F4"/>
    <w:rsid w:val="00EC1CD7"/>
    <w:rsid w:val="00EC262D"/>
    <w:rsid w:val="00EC3566"/>
    <w:rsid w:val="00ED0321"/>
    <w:rsid w:val="00ED2562"/>
    <w:rsid w:val="00ED60BA"/>
    <w:rsid w:val="00ED6CE0"/>
    <w:rsid w:val="00ED725A"/>
    <w:rsid w:val="00EE26FE"/>
    <w:rsid w:val="00EE3494"/>
    <w:rsid w:val="00EF07BC"/>
    <w:rsid w:val="00EF0F21"/>
    <w:rsid w:val="00EF1CF6"/>
    <w:rsid w:val="00EF2BB1"/>
    <w:rsid w:val="00EF2DA7"/>
    <w:rsid w:val="00EF4B6E"/>
    <w:rsid w:val="00F00A29"/>
    <w:rsid w:val="00F034B8"/>
    <w:rsid w:val="00F0367A"/>
    <w:rsid w:val="00F04305"/>
    <w:rsid w:val="00F04880"/>
    <w:rsid w:val="00F10746"/>
    <w:rsid w:val="00F121D2"/>
    <w:rsid w:val="00F12423"/>
    <w:rsid w:val="00F12FDE"/>
    <w:rsid w:val="00F14D5A"/>
    <w:rsid w:val="00F2122C"/>
    <w:rsid w:val="00F23223"/>
    <w:rsid w:val="00F271E8"/>
    <w:rsid w:val="00F30ACA"/>
    <w:rsid w:val="00F32A4D"/>
    <w:rsid w:val="00F32BDE"/>
    <w:rsid w:val="00F3558F"/>
    <w:rsid w:val="00F37AF6"/>
    <w:rsid w:val="00F404E0"/>
    <w:rsid w:val="00F41809"/>
    <w:rsid w:val="00F44097"/>
    <w:rsid w:val="00F44A70"/>
    <w:rsid w:val="00F46AE8"/>
    <w:rsid w:val="00F502F6"/>
    <w:rsid w:val="00F5177F"/>
    <w:rsid w:val="00F5359A"/>
    <w:rsid w:val="00F55F69"/>
    <w:rsid w:val="00F57863"/>
    <w:rsid w:val="00F57DBD"/>
    <w:rsid w:val="00F6328D"/>
    <w:rsid w:val="00F706C9"/>
    <w:rsid w:val="00F70D14"/>
    <w:rsid w:val="00F74AC5"/>
    <w:rsid w:val="00F80639"/>
    <w:rsid w:val="00F83592"/>
    <w:rsid w:val="00F84150"/>
    <w:rsid w:val="00F86B72"/>
    <w:rsid w:val="00F8762F"/>
    <w:rsid w:val="00F92F25"/>
    <w:rsid w:val="00F930FA"/>
    <w:rsid w:val="00F93B0E"/>
    <w:rsid w:val="00F95F08"/>
    <w:rsid w:val="00FA3B03"/>
    <w:rsid w:val="00FB06CF"/>
    <w:rsid w:val="00FB4C2F"/>
    <w:rsid w:val="00FB5FDB"/>
    <w:rsid w:val="00FB7E1C"/>
    <w:rsid w:val="00FC1004"/>
    <w:rsid w:val="00FC2DAC"/>
    <w:rsid w:val="00FC47DF"/>
    <w:rsid w:val="00FC4BF1"/>
    <w:rsid w:val="00FC535F"/>
    <w:rsid w:val="00FC5E92"/>
    <w:rsid w:val="00FC6730"/>
    <w:rsid w:val="00FC776B"/>
    <w:rsid w:val="00FC7A3F"/>
    <w:rsid w:val="00FD0918"/>
    <w:rsid w:val="00FD32FB"/>
    <w:rsid w:val="00FD33FF"/>
    <w:rsid w:val="00FD4372"/>
    <w:rsid w:val="00FE23B0"/>
    <w:rsid w:val="00FE2B71"/>
    <w:rsid w:val="00FE4D0C"/>
    <w:rsid w:val="00FE5D6E"/>
    <w:rsid w:val="00FE6772"/>
    <w:rsid w:val="00FF1758"/>
    <w:rsid w:val="00FF17FD"/>
    <w:rsid w:val="00FF2CAD"/>
    <w:rsid w:val="00FF68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1891"/>
  <w15:chartTrackingRefBased/>
  <w15:docId w15:val="{AB64AC3B-1480-4810-86E7-4F64296D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3CF"/>
    <w:pPr>
      <w:spacing w:after="0" w:line="240" w:lineRule="auto"/>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352A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CC287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3C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E443CF"/>
    <w:pPr>
      <w:spacing w:before="100" w:beforeAutospacing="1" w:after="100" w:afterAutospacing="1"/>
      <w:jc w:val="left"/>
    </w:pPr>
    <w:rPr>
      <w:rFonts w:eastAsiaTheme="minorEastAsia"/>
      <w:sz w:val="24"/>
      <w:szCs w:val="24"/>
    </w:rPr>
  </w:style>
  <w:style w:type="character" w:customStyle="1" w:styleId="a5">
    <w:name w:val="Звичайний (веб) Знак"/>
    <w:link w:val="a4"/>
    <w:uiPriority w:val="99"/>
    <w:locked/>
    <w:rsid w:val="00E443CF"/>
    <w:rPr>
      <w:rFonts w:ascii="Times New Roman" w:eastAsiaTheme="minorEastAsia" w:hAnsi="Times New Roman" w:cs="Times New Roman"/>
      <w:sz w:val="24"/>
      <w:szCs w:val="24"/>
      <w:lang w:eastAsia="uk-UA"/>
    </w:rPr>
  </w:style>
  <w:style w:type="character" w:styleId="a6">
    <w:name w:val="Hyperlink"/>
    <w:basedOn w:val="a0"/>
    <w:uiPriority w:val="99"/>
    <w:unhideWhenUsed/>
    <w:rsid w:val="00E443CF"/>
    <w:rPr>
      <w:color w:val="0000FF"/>
      <w:u w:val="single"/>
    </w:rPr>
  </w:style>
  <w:style w:type="paragraph" w:customStyle="1" w:styleId="rvps2">
    <w:name w:val="rvps2"/>
    <w:basedOn w:val="a"/>
    <w:qFormat/>
    <w:rsid w:val="00BD24F8"/>
    <w:pPr>
      <w:spacing w:before="100" w:beforeAutospacing="1" w:after="100" w:afterAutospacing="1"/>
      <w:jc w:val="left"/>
    </w:pPr>
    <w:rPr>
      <w:sz w:val="24"/>
      <w:szCs w:val="24"/>
    </w:rPr>
  </w:style>
  <w:style w:type="paragraph" w:styleId="a7">
    <w:name w:val="Balloon Text"/>
    <w:basedOn w:val="a"/>
    <w:link w:val="a8"/>
    <w:uiPriority w:val="99"/>
    <w:semiHidden/>
    <w:unhideWhenUsed/>
    <w:rsid w:val="00BD24F8"/>
    <w:rPr>
      <w:rFonts w:ascii="Segoe UI" w:hAnsi="Segoe UI" w:cs="Segoe UI"/>
      <w:sz w:val="18"/>
      <w:szCs w:val="18"/>
    </w:rPr>
  </w:style>
  <w:style w:type="character" w:customStyle="1" w:styleId="a8">
    <w:name w:val="Текст у виносці Знак"/>
    <w:basedOn w:val="a0"/>
    <w:link w:val="a7"/>
    <w:uiPriority w:val="99"/>
    <w:semiHidden/>
    <w:rsid w:val="00BD24F8"/>
    <w:rPr>
      <w:rFonts w:ascii="Segoe UI" w:eastAsia="Times New Roman" w:hAnsi="Segoe UI" w:cs="Segoe UI"/>
      <w:sz w:val="18"/>
      <w:szCs w:val="18"/>
      <w:lang w:eastAsia="uk-UA"/>
    </w:rPr>
  </w:style>
  <w:style w:type="character" w:styleId="a9">
    <w:name w:val="annotation reference"/>
    <w:basedOn w:val="a0"/>
    <w:uiPriority w:val="99"/>
    <w:semiHidden/>
    <w:unhideWhenUsed/>
    <w:rsid w:val="001521B9"/>
    <w:rPr>
      <w:sz w:val="16"/>
      <w:szCs w:val="16"/>
    </w:rPr>
  </w:style>
  <w:style w:type="paragraph" w:styleId="aa">
    <w:name w:val="annotation text"/>
    <w:basedOn w:val="a"/>
    <w:link w:val="ab"/>
    <w:uiPriority w:val="99"/>
    <w:unhideWhenUsed/>
    <w:rsid w:val="001521B9"/>
    <w:rPr>
      <w:sz w:val="20"/>
      <w:szCs w:val="20"/>
    </w:rPr>
  </w:style>
  <w:style w:type="character" w:customStyle="1" w:styleId="ab">
    <w:name w:val="Текст примітки Знак"/>
    <w:basedOn w:val="a0"/>
    <w:link w:val="aa"/>
    <w:uiPriority w:val="99"/>
    <w:rsid w:val="001521B9"/>
    <w:rPr>
      <w:rFonts w:ascii="Times New Roman" w:eastAsia="Times New Roman" w:hAnsi="Times New Roman" w:cs="Times New Roman"/>
      <w:sz w:val="20"/>
      <w:szCs w:val="20"/>
      <w:lang w:eastAsia="uk-UA"/>
    </w:rPr>
  </w:style>
  <w:style w:type="paragraph" w:styleId="ac">
    <w:name w:val="annotation subject"/>
    <w:basedOn w:val="aa"/>
    <w:next w:val="aa"/>
    <w:link w:val="ad"/>
    <w:uiPriority w:val="99"/>
    <w:semiHidden/>
    <w:unhideWhenUsed/>
    <w:rsid w:val="001521B9"/>
    <w:rPr>
      <w:b/>
      <w:bCs/>
    </w:rPr>
  </w:style>
  <w:style w:type="character" w:customStyle="1" w:styleId="ad">
    <w:name w:val="Тема примітки Знак"/>
    <w:basedOn w:val="ab"/>
    <w:link w:val="ac"/>
    <w:uiPriority w:val="99"/>
    <w:semiHidden/>
    <w:rsid w:val="001521B9"/>
    <w:rPr>
      <w:rFonts w:ascii="Times New Roman" w:eastAsia="Times New Roman" w:hAnsi="Times New Roman" w:cs="Times New Roman"/>
      <w:b/>
      <w:bCs/>
      <w:sz w:val="20"/>
      <w:szCs w:val="20"/>
      <w:lang w:eastAsia="uk-UA"/>
    </w:rPr>
  </w:style>
  <w:style w:type="character" w:customStyle="1" w:styleId="rvts9">
    <w:name w:val="rvts9"/>
    <w:basedOn w:val="a0"/>
    <w:rsid w:val="00080F88"/>
  </w:style>
  <w:style w:type="character" w:customStyle="1" w:styleId="30">
    <w:name w:val="Заголовок 3 Знак"/>
    <w:basedOn w:val="a0"/>
    <w:link w:val="3"/>
    <w:uiPriority w:val="9"/>
    <w:rsid w:val="00CC287D"/>
    <w:rPr>
      <w:rFonts w:asciiTheme="majorHAnsi" w:eastAsiaTheme="majorEastAsia" w:hAnsiTheme="majorHAnsi" w:cstheme="majorBidi"/>
      <w:color w:val="1F4D78" w:themeColor="accent1" w:themeShade="7F"/>
      <w:sz w:val="24"/>
      <w:szCs w:val="24"/>
      <w:lang w:eastAsia="uk-UA"/>
    </w:rPr>
  </w:style>
  <w:style w:type="paragraph" w:styleId="ae">
    <w:name w:val="List Paragraph"/>
    <w:aliases w:val="Bullets,Normal bullet 2,Heading Bullet,Number normal,Number Normal,text bullet,List Numbers,Elenco Normale,List Paragraph - sub title,Абзац списку1"/>
    <w:basedOn w:val="a"/>
    <w:link w:val="af"/>
    <w:uiPriority w:val="34"/>
    <w:qFormat/>
    <w:rsid w:val="00CC287D"/>
    <w:pPr>
      <w:ind w:left="720"/>
      <w:contextualSpacing/>
    </w:pPr>
  </w:style>
  <w:style w:type="character" w:customStyle="1" w:styleId="af">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e"/>
    <w:uiPriority w:val="34"/>
    <w:qFormat/>
    <w:locked/>
    <w:rsid w:val="00CC287D"/>
    <w:rPr>
      <w:rFonts w:ascii="Times New Roman" w:eastAsia="Times New Roman" w:hAnsi="Times New Roman" w:cs="Times New Roman"/>
      <w:sz w:val="28"/>
      <w:szCs w:val="28"/>
      <w:lang w:eastAsia="uk-UA"/>
    </w:rPr>
  </w:style>
  <w:style w:type="paragraph" w:styleId="af0">
    <w:name w:val="No Spacing"/>
    <w:link w:val="af1"/>
    <w:uiPriority w:val="1"/>
    <w:qFormat/>
    <w:rsid w:val="0076208F"/>
    <w:pPr>
      <w:spacing w:after="0" w:line="240" w:lineRule="auto"/>
      <w:jc w:val="both"/>
    </w:pPr>
    <w:rPr>
      <w:rFonts w:ascii="Times New Roman" w:eastAsia="Times New Roman" w:hAnsi="Times New Roman" w:cs="Times New Roman"/>
      <w:sz w:val="28"/>
      <w:szCs w:val="28"/>
      <w:lang w:eastAsia="uk-UA"/>
    </w:rPr>
  </w:style>
  <w:style w:type="character" w:customStyle="1" w:styleId="af1">
    <w:name w:val="Без інтервалів Знак"/>
    <w:basedOn w:val="a0"/>
    <w:link w:val="af0"/>
    <w:uiPriority w:val="1"/>
    <w:rsid w:val="0076208F"/>
    <w:rPr>
      <w:rFonts w:ascii="Times New Roman" w:eastAsia="Times New Roman" w:hAnsi="Times New Roman" w:cs="Times New Roman"/>
      <w:sz w:val="28"/>
      <w:szCs w:val="28"/>
      <w:lang w:eastAsia="uk-UA"/>
    </w:rPr>
  </w:style>
  <w:style w:type="paragraph" w:styleId="af2">
    <w:name w:val="Revision"/>
    <w:hidden/>
    <w:uiPriority w:val="99"/>
    <w:semiHidden/>
    <w:rsid w:val="007A756C"/>
    <w:pPr>
      <w:spacing w:after="0" w:line="240" w:lineRule="auto"/>
    </w:pPr>
    <w:rPr>
      <w:rFonts w:ascii="Times New Roman" w:eastAsia="Times New Roman" w:hAnsi="Times New Roman" w:cs="Times New Roman"/>
      <w:sz w:val="28"/>
      <w:szCs w:val="28"/>
      <w:lang w:eastAsia="uk-UA"/>
    </w:rPr>
  </w:style>
  <w:style w:type="paragraph" w:customStyle="1" w:styleId="Default">
    <w:name w:val="Default"/>
    <w:qFormat/>
    <w:rsid w:val="00E814CF"/>
    <w:pPr>
      <w:suppressAutoHyphens/>
      <w:spacing w:after="0" w:line="240" w:lineRule="auto"/>
    </w:pPr>
    <w:rPr>
      <w:rFonts w:ascii="Times New Roman" w:eastAsia="Calibri" w:hAnsi="Times New Roman" w:cs="Times New Roman"/>
      <w:color w:val="000000"/>
      <w:sz w:val="24"/>
      <w:szCs w:val="24"/>
      <w:lang w:eastAsia="zh-CN"/>
    </w:rPr>
  </w:style>
  <w:style w:type="table" w:customStyle="1" w:styleId="11">
    <w:name w:val="Сітка таблиці1"/>
    <w:basedOn w:val="a1"/>
    <w:next w:val="a3"/>
    <w:uiPriority w:val="59"/>
    <w:rsid w:val="00F502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C17DA8"/>
  </w:style>
  <w:style w:type="character" w:customStyle="1" w:styleId="rvts40">
    <w:name w:val="rvts40"/>
    <w:basedOn w:val="a0"/>
    <w:rsid w:val="00C17DA8"/>
  </w:style>
  <w:style w:type="character" w:customStyle="1" w:styleId="st82">
    <w:name w:val="st82"/>
    <w:uiPriority w:val="99"/>
    <w:rsid w:val="00267BE3"/>
    <w:rPr>
      <w:color w:val="000000"/>
      <w:sz w:val="20"/>
      <w:szCs w:val="20"/>
    </w:rPr>
  </w:style>
  <w:style w:type="paragraph" w:customStyle="1" w:styleId="rvps7">
    <w:name w:val="rvps7"/>
    <w:basedOn w:val="a"/>
    <w:rsid w:val="00C2369E"/>
    <w:pPr>
      <w:spacing w:before="100" w:beforeAutospacing="1" w:after="100" w:afterAutospacing="1"/>
      <w:jc w:val="left"/>
    </w:pPr>
    <w:rPr>
      <w:sz w:val="24"/>
      <w:szCs w:val="24"/>
    </w:rPr>
  </w:style>
  <w:style w:type="paragraph" w:customStyle="1" w:styleId="rvps14">
    <w:name w:val="rvps14"/>
    <w:basedOn w:val="a"/>
    <w:rsid w:val="003B66CA"/>
    <w:pPr>
      <w:spacing w:before="100" w:beforeAutospacing="1" w:after="100" w:afterAutospacing="1"/>
      <w:jc w:val="left"/>
    </w:pPr>
    <w:rPr>
      <w:sz w:val="24"/>
      <w:szCs w:val="24"/>
    </w:rPr>
  </w:style>
  <w:style w:type="character" w:customStyle="1" w:styleId="rvts23">
    <w:name w:val="rvts23"/>
    <w:basedOn w:val="a0"/>
    <w:rsid w:val="00F80639"/>
  </w:style>
  <w:style w:type="character" w:styleId="af3">
    <w:name w:val="FollowedHyperlink"/>
    <w:basedOn w:val="a0"/>
    <w:uiPriority w:val="99"/>
    <w:semiHidden/>
    <w:unhideWhenUsed/>
    <w:rsid w:val="00F706C9"/>
    <w:rPr>
      <w:color w:val="954F72" w:themeColor="followedHyperlink"/>
      <w:u w:val="single"/>
    </w:rPr>
  </w:style>
  <w:style w:type="paragraph" w:customStyle="1" w:styleId="af4">
    <w:name w:val="Обратный адрес"/>
    <w:basedOn w:val="af0"/>
    <w:uiPriority w:val="3"/>
    <w:qFormat/>
    <w:rsid w:val="00B44129"/>
    <w:pPr>
      <w:spacing w:after="360"/>
      <w:contextualSpacing/>
      <w:jc w:val="left"/>
    </w:pPr>
    <w:rPr>
      <w:rFonts w:asciiTheme="minorHAnsi" w:eastAsiaTheme="minorEastAsia" w:hAnsiTheme="minorHAnsi" w:cstheme="minorBidi"/>
      <w:color w:val="000000" w:themeColor="text1"/>
      <w:sz w:val="22"/>
      <w:szCs w:val="22"/>
      <w:lang w:val="ru-RU" w:eastAsia="en-US"/>
    </w:rPr>
  </w:style>
  <w:style w:type="character" w:customStyle="1" w:styleId="rvts15">
    <w:name w:val="rvts15"/>
    <w:basedOn w:val="a0"/>
    <w:rsid w:val="00710D9E"/>
  </w:style>
  <w:style w:type="character" w:customStyle="1" w:styleId="10">
    <w:name w:val="Заголовок 1 Знак"/>
    <w:basedOn w:val="a0"/>
    <w:link w:val="1"/>
    <w:uiPriority w:val="9"/>
    <w:rsid w:val="00352A7C"/>
    <w:rPr>
      <w:rFonts w:asciiTheme="majorHAnsi" w:eastAsiaTheme="majorEastAsia" w:hAnsiTheme="majorHAnsi" w:cstheme="majorBidi"/>
      <w:color w:val="2E74B5" w:themeColor="accent1" w:themeShade="BF"/>
      <w:sz w:val="32"/>
      <w:szCs w:val="32"/>
      <w:lang w:eastAsia="uk-UA"/>
    </w:rPr>
  </w:style>
  <w:style w:type="paragraph" w:styleId="af5">
    <w:name w:val="Salutation"/>
    <w:basedOn w:val="af0"/>
    <w:next w:val="a"/>
    <w:link w:val="af6"/>
    <w:uiPriority w:val="6"/>
    <w:unhideWhenUsed/>
    <w:qFormat/>
    <w:rsid w:val="007F116B"/>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6">
    <w:name w:val="Привітання Знак"/>
    <w:basedOn w:val="a0"/>
    <w:link w:val="af5"/>
    <w:uiPriority w:val="6"/>
    <w:rsid w:val="007F116B"/>
    <w:rPr>
      <w:rFonts w:eastAsiaTheme="minorEastAsia"/>
      <w:b/>
      <w:bCs/>
      <w:color w:val="000000" w:themeColor="text1"/>
      <w:lang w:val="ru-RU"/>
    </w:rPr>
  </w:style>
  <w:style w:type="character" w:customStyle="1" w:styleId="rvts46">
    <w:name w:val="rvts46"/>
    <w:basedOn w:val="a0"/>
    <w:rsid w:val="00FD32FB"/>
  </w:style>
  <w:style w:type="character" w:customStyle="1" w:styleId="rvts11">
    <w:name w:val="rvts11"/>
    <w:basedOn w:val="a0"/>
    <w:rsid w:val="00FD32FB"/>
  </w:style>
  <w:style w:type="character" w:customStyle="1" w:styleId="rvts44">
    <w:name w:val="rvts44"/>
    <w:basedOn w:val="a0"/>
    <w:rsid w:val="001B0A23"/>
  </w:style>
  <w:style w:type="character" w:styleId="af7">
    <w:name w:val="Strong"/>
    <w:basedOn w:val="a0"/>
    <w:uiPriority w:val="22"/>
    <w:qFormat/>
    <w:rsid w:val="006E7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1692">
      <w:bodyDiv w:val="1"/>
      <w:marLeft w:val="0"/>
      <w:marRight w:val="0"/>
      <w:marTop w:val="0"/>
      <w:marBottom w:val="0"/>
      <w:divBdr>
        <w:top w:val="none" w:sz="0" w:space="0" w:color="auto"/>
        <w:left w:val="none" w:sz="0" w:space="0" w:color="auto"/>
        <w:bottom w:val="none" w:sz="0" w:space="0" w:color="auto"/>
        <w:right w:val="none" w:sz="0" w:space="0" w:color="auto"/>
      </w:divBdr>
    </w:div>
    <w:div w:id="49572836">
      <w:bodyDiv w:val="1"/>
      <w:marLeft w:val="0"/>
      <w:marRight w:val="0"/>
      <w:marTop w:val="0"/>
      <w:marBottom w:val="0"/>
      <w:divBdr>
        <w:top w:val="none" w:sz="0" w:space="0" w:color="auto"/>
        <w:left w:val="none" w:sz="0" w:space="0" w:color="auto"/>
        <w:bottom w:val="none" w:sz="0" w:space="0" w:color="auto"/>
        <w:right w:val="none" w:sz="0" w:space="0" w:color="auto"/>
      </w:divBdr>
    </w:div>
    <w:div w:id="69238243">
      <w:bodyDiv w:val="1"/>
      <w:marLeft w:val="0"/>
      <w:marRight w:val="0"/>
      <w:marTop w:val="0"/>
      <w:marBottom w:val="0"/>
      <w:divBdr>
        <w:top w:val="none" w:sz="0" w:space="0" w:color="auto"/>
        <w:left w:val="none" w:sz="0" w:space="0" w:color="auto"/>
        <w:bottom w:val="none" w:sz="0" w:space="0" w:color="auto"/>
        <w:right w:val="none" w:sz="0" w:space="0" w:color="auto"/>
      </w:divBdr>
    </w:div>
    <w:div w:id="76244456">
      <w:bodyDiv w:val="1"/>
      <w:marLeft w:val="0"/>
      <w:marRight w:val="0"/>
      <w:marTop w:val="0"/>
      <w:marBottom w:val="0"/>
      <w:divBdr>
        <w:top w:val="none" w:sz="0" w:space="0" w:color="auto"/>
        <w:left w:val="none" w:sz="0" w:space="0" w:color="auto"/>
        <w:bottom w:val="none" w:sz="0" w:space="0" w:color="auto"/>
        <w:right w:val="none" w:sz="0" w:space="0" w:color="auto"/>
      </w:divBdr>
    </w:div>
    <w:div w:id="86771272">
      <w:bodyDiv w:val="1"/>
      <w:marLeft w:val="0"/>
      <w:marRight w:val="0"/>
      <w:marTop w:val="0"/>
      <w:marBottom w:val="0"/>
      <w:divBdr>
        <w:top w:val="none" w:sz="0" w:space="0" w:color="auto"/>
        <w:left w:val="none" w:sz="0" w:space="0" w:color="auto"/>
        <w:bottom w:val="none" w:sz="0" w:space="0" w:color="auto"/>
        <w:right w:val="none" w:sz="0" w:space="0" w:color="auto"/>
      </w:divBdr>
    </w:div>
    <w:div w:id="122046160">
      <w:bodyDiv w:val="1"/>
      <w:marLeft w:val="0"/>
      <w:marRight w:val="0"/>
      <w:marTop w:val="0"/>
      <w:marBottom w:val="0"/>
      <w:divBdr>
        <w:top w:val="none" w:sz="0" w:space="0" w:color="auto"/>
        <w:left w:val="none" w:sz="0" w:space="0" w:color="auto"/>
        <w:bottom w:val="none" w:sz="0" w:space="0" w:color="auto"/>
        <w:right w:val="none" w:sz="0" w:space="0" w:color="auto"/>
      </w:divBdr>
    </w:div>
    <w:div w:id="166213104">
      <w:bodyDiv w:val="1"/>
      <w:marLeft w:val="0"/>
      <w:marRight w:val="0"/>
      <w:marTop w:val="0"/>
      <w:marBottom w:val="0"/>
      <w:divBdr>
        <w:top w:val="none" w:sz="0" w:space="0" w:color="auto"/>
        <w:left w:val="none" w:sz="0" w:space="0" w:color="auto"/>
        <w:bottom w:val="none" w:sz="0" w:space="0" w:color="auto"/>
        <w:right w:val="none" w:sz="0" w:space="0" w:color="auto"/>
      </w:divBdr>
    </w:div>
    <w:div w:id="169755361">
      <w:bodyDiv w:val="1"/>
      <w:marLeft w:val="0"/>
      <w:marRight w:val="0"/>
      <w:marTop w:val="0"/>
      <w:marBottom w:val="0"/>
      <w:divBdr>
        <w:top w:val="none" w:sz="0" w:space="0" w:color="auto"/>
        <w:left w:val="none" w:sz="0" w:space="0" w:color="auto"/>
        <w:bottom w:val="none" w:sz="0" w:space="0" w:color="auto"/>
        <w:right w:val="none" w:sz="0" w:space="0" w:color="auto"/>
      </w:divBdr>
    </w:div>
    <w:div w:id="178811537">
      <w:bodyDiv w:val="1"/>
      <w:marLeft w:val="0"/>
      <w:marRight w:val="0"/>
      <w:marTop w:val="0"/>
      <w:marBottom w:val="0"/>
      <w:divBdr>
        <w:top w:val="none" w:sz="0" w:space="0" w:color="auto"/>
        <w:left w:val="none" w:sz="0" w:space="0" w:color="auto"/>
        <w:bottom w:val="none" w:sz="0" w:space="0" w:color="auto"/>
        <w:right w:val="none" w:sz="0" w:space="0" w:color="auto"/>
      </w:divBdr>
    </w:div>
    <w:div w:id="213322390">
      <w:bodyDiv w:val="1"/>
      <w:marLeft w:val="0"/>
      <w:marRight w:val="0"/>
      <w:marTop w:val="0"/>
      <w:marBottom w:val="0"/>
      <w:divBdr>
        <w:top w:val="none" w:sz="0" w:space="0" w:color="auto"/>
        <w:left w:val="none" w:sz="0" w:space="0" w:color="auto"/>
        <w:bottom w:val="none" w:sz="0" w:space="0" w:color="auto"/>
        <w:right w:val="none" w:sz="0" w:space="0" w:color="auto"/>
      </w:divBdr>
    </w:div>
    <w:div w:id="236207671">
      <w:bodyDiv w:val="1"/>
      <w:marLeft w:val="0"/>
      <w:marRight w:val="0"/>
      <w:marTop w:val="0"/>
      <w:marBottom w:val="0"/>
      <w:divBdr>
        <w:top w:val="none" w:sz="0" w:space="0" w:color="auto"/>
        <w:left w:val="none" w:sz="0" w:space="0" w:color="auto"/>
        <w:bottom w:val="none" w:sz="0" w:space="0" w:color="auto"/>
        <w:right w:val="none" w:sz="0" w:space="0" w:color="auto"/>
      </w:divBdr>
    </w:div>
    <w:div w:id="257953580">
      <w:bodyDiv w:val="1"/>
      <w:marLeft w:val="0"/>
      <w:marRight w:val="0"/>
      <w:marTop w:val="0"/>
      <w:marBottom w:val="0"/>
      <w:divBdr>
        <w:top w:val="none" w:sz="0" w:space="0" w:color="auto"/>
        <w:left w:val="none" w:sz="0" w:space="0" w:color="auto"/>
        <w:bottom w:val="none" w:sz="0" w:space="0" w:color="auto"/>
        <w:right w:val="none" w:sz="0" w:space="0" w:color="auto"/>
      </w:divBdr>
    </w:div>
    <w:div w:id="305864313">
      <w:bodyDiv w:val="1"/>
      <w:marLeft w:val="0"/>
      <w:marRight w:val="0"/>
      <w:marTop w:val="0"/>
      <w:marBottom w:val="0"/>
      <w:divBdr>
        <w:top w:val="none" w:sz="0" w:space="0" w:color="auto"/>
        <w:left w:val="none" w:sz="0" w:space="0" w:color="auto"/>
        <w:bottom w:val="none" w:sz="0" w:space="0" w:color="auto"/>
        <w:right w:val="none" w:sz="0" w:space="0" w:color="auto"/>
      </w:divBdr>
    </w:div>
    <w:div w:id="357783635">
      <w:bodyDiv w:val="1"/>
      <w:marLeft w:val="0"/>
      <w:marRight w:val="0"/>
      <w:marTop w:val="0"/>
      <w:marBottom w:val="0"/>
      <w:divBdr>
        <w:top w:val="none" w:sz="0" w:space="0" w:color="auto"/>
        <w:left w:val="none" w:sz="0" w:space="0" w:color="auto"/>
        <w:bottom w:val="none" w:sz="0" w:space="0" w:color="auto"/>
        <w:right w:val="none" w:sz="0" w:space="0" w:color="auto"/>
      </w:divBdr>
    </w:div>
    <w:div w:id="412823252">
      <w:bodyDiv w:val="1"/>
      <w:marLeft w:val="0"/>
      <w:marRight w:val="0"/>
      <w:marTop w:val="0"/>
      <w:marBottom w:val="0"/>
      <w:divBdr>
        <w:top w:val="none" w:sz="0" w:space="0" w:color="auto"/>
        <w:left w:val="none" w:sz="0" w:space="0" w:color="auto"/>
        <w:bottom w:val="none" w:sz="0" w:space="0" w:color="auto"/>
        <w:right w:val="none" w:sz="0" w:space="0" w:color="auto"/>
      </w:divBdr>
    </w:div>
    <w:div w:id="438599155">
      <w:bodyDiv w:val="1"/>
      <w:marLeft w:val="0"/>
      <w:marRight w:val="0"/>
      <w:marTop w:val="0"/>
      <w:marBottom w:val="0"/>
      <w:divBdr>
        <w:top w:val="none" w:sz="0" w:space="0" w:color="auto"/>
        <w:left w:val="none" w:sz="0" w:space="0" w:color="auto"/>
        <w:bottom w:val="none" w:sz="0" w:space="0" w:color="auto"/>
        <w:right w:val="none" w:sz="0" w:space="0" w:color="auto"/>
      </w:divBdr>
    </w:div>
    <w:div w:id="467550089">
      <w:bodyDiv w:val="1"/>
      <w:marLeft w:val="0"/>
      <w:marRight w:val="0"/>
      <w:marTop w:val="0"/>
      <w:marBottom w:val="0"/>
      <w:divBdr>
        <w:top w:val="none" w:sz="0" w:space="0" w:color="auto"/>
        <w:left w:val="none" w:sz="0" w:space="0" w:color="auto"/>
        <w:bottom w:val="none" w:sz="0" w:space="0" w:color="auto"/>
        <w:right w:val="none" w:sz="0" w:space="0" w:color="auto"/>
      </w:divBdr>
    </w:div>
    <w:div w:id="490022425">
      <w:bodyDiv w:val="1"/>
      <w:marLeft w:val="0"/>
      <w:marRight w:val="0"/>
      <w:marTop w:val="0"/>
      <w:marBottom w:val="0"/>
      <w:divBdr>
        <w:top w:val="none" w:sz="0" w:space="0" w:color="auto"/>
        <w:left w:val="none" w:sz="0" w:space="0" w:color="auto"/>
        <w:bottom w:val="none" w:sz="0" w:space="0" w:color="auto"/>
        <w:right w:val="none" w:sz="0" w:space="0" w:color="auto"/>
      </w:divBdr>
    </w:div>
    <w:div w:id="604194048">
      <w:bodyDiv w:val="1"/>
      <w:marLeft w:val="0"/>
      <w:marRight w:val="0"/>
      <w:marTop w:val="0"/>
      <w:marBottom w:val="0"/>
      <w:divBdr>
        <w:top w:val="none" w:sz="0" w:space="0" w:color="auto"/>
        <w:left w:val="none" w:sz="0" w:space="0" w:color="auto"/>
        <w:bottom w:val="none" w:sz="0" w:space="0" w:color="auto"/>
        <w:right w:val="none" w:sz="0" w:space="0" w:color="auto"/>
      </w:divBdr>
    </w:div>
    <w:div w:id="616252806">
      <w:bodyDiv w:val="1"/>
      <w:marLeft w:val="0"/>
      <w:marRight w:val="0"/>
      <w:marTop w:val="0"/>
      <w:marBottom w:val="0"/>
      <w:divBdr>
        <w:top w:val="none" w:sz="0" w:space="0" w:color="auto"/>
        <w:left w:val="none" w:sz="0" w:space="0" w:color="auto"/>
        <w:bottom w:val="none" w:sz="0" w:space="0" w:color="auto"/>
        <w:right w:val="none" w:sz="0" w:space="0" w:color="auto"/>
      </w:divBdr>
    </w:div>
    <w:div w:id="627511328">
      <w:bodyDiv w:val="1"/>
      <w:marLeft w:val="0"/>
      <w:marRight w:val="0"/>
      <w:marTop w:val="0"/>
      <w:marBottom w:val="0"/>
      <w:divBdr>
        <w:top w:val="none" w:sz="0" w:space="0" w:color="auto"/>
        <w:left w:val="none" w:sz="0" w:space="0" w:color="auto"/>
        <w:bottom w:val="none" w:sz="0" w:space="0" w:color="auto"/>
        <w:right w:val="none" w:sz="0" w:space="0" w:color="auto"/>
      </w:divBdr>
    </w:div>
    <w:div w:id="650448681">
      <w:bodyDiv w:val="1"/>
      <w:marLeft w:val="0"/>
      <w:marRight w:val="0"/>
      <w:marTop w:val="0"/>
      <w:marBottom w:val="0"/>
      <w:divBdr>
        <w:top w:val="none" w:sz="0" w:space="0" w:color="auto"/>
        <w:left w:val="none" w:sz="0" w:space="0" w:color="auto"/>
        <w:bottom w:val="none" w:sz="0" w:space="0" w:color="auto"/>
        <w:right w:val="none" w:sz="0" w:space="0" w:color="auto"/>
      </w:divBdr>
    </w:div>
    <w:div w:id="666860843">
      <w:bodyDiv w:val="1"/>
      <w:marLeft w:val="0"/>
      <w:marRight w:val="0"/>
      <w:marTop w:val="0"/>
      <w:marBottom w:val="0"/>
      <w:divBdr>
        <w:top w:val="none" w:sz="0" w:space="0" w:color="auto"/>
        <w:left w:val="none" w:sz="0" w:space="0" w:color="auto"/>
        <w:bottom w:val="none" w:sz="0" w:space="0" w:color="auto"/>
        <w:right w:val="none" w:sz="0" w:space="0" w:color="auto"/>
      </w:divBdr>
    </w:div>
    <w:div w:id="705985875">
      <w:bodyDiv w:val="1"/>
      <w:marLeft w:val="0"/>
      <w:marRight w:val="0"/>
      <w:marTop w:val="0"/>
      <w:marBottom w:val="0"/>
      <w:divBdr>
        <w:top w:val="none" w:sz="0" w:space="0" w:color="auto"/>
        <w:left w:val="none" w:sz="0" w:space="0" w:color="auto"/>
        <w:bottom w:val="none" w:sz="0" w:space="0" w:color="auto"/>
        <w:right w:val="none" w:sz="0" w:space="0" w:color="auto"/>
      </w:divBdr>
    </w:div>
    <w:div w:id="712967834">
      <w:bodyDiv w:val="1"/>
      <w:marLeft w:val="0"/>
      <w:marRight w:val="0"/>
      <w:marTop w:val="0"/>
      <w:marBottom w:val="0"/>
      <w:divBdr>
        <w:top w:val="none" w:sz="0" w:space="0" w:color="auto"/>
        <w:left w:val="none" w:sz="0" w:space="0" w:color="auto"/>
        <w:bottom w:val="none" w:sz="0" w:space="0" w:color="auto"/>
        <w:right w:val="none" w:sz="0" w:space="0" w:color="auto"/>
      </w:divBdr>
    </w:div>
    <w:div w:id="725376826">
      <w:bodyDiv w:val="1"/>
      <w:marLeft w:val="0"/>
      <w:marRight w:val="0"/>
      <w:marTop w:val="0"/>
      <w:marBottom w:val="0"/>
      <w:divBdr>
        <w:top w:val="none" w:sz="0" w:space="0" w:color="auto"/>
        <w:left w:val="none" w:sz="0" w:space="0" w:color="auto"/>
        <w:bottom w:val="none" w:sz="0" w:space="0" w:color="auto"/>
        <w:right w:val="none" w:sz="0" w:space="0" w:color="auto"/>
      </w:divBdr>
    </w:div>
    <w:div w:id="756176758">
      <w:bodyDiv w:val="1"/>
      <w:marLeft w:val="0"/>
      <w:marRight w:val="0"/>
      <w:marTop w:val="0"/>
      <w:marBottom w:val="0"/>
      <w:divBdr>
        <w:top w:val="none" w:sz="0" w:space="0" w:color="auto"/>
        <w:left w:val="none" w:sz="0" w:space="0" w:color="auto"/>
        <w:bottom w:val="none" w:sz="0" w:space="0" w:color="auto"/>
        <w:right w:val="none" w:sz="0" w:space="0" w:color="auto"/>
      </w:divBdr>
    </w:div>
    <w:div w:id="765539199">
      <w:bodyDiv w:val="1"/>
      <w:marLeft w:val="0"/>
      <w:marRight w:val="0"/>
      <w:marTop w:val="0"/>
      <w:marBottom w:val="0"/>
      <w:divBdr>
        <w:top w:val="none" w:sz="0" w:space="0" w:color="auto"/>
        <w:left w:val="none" w:sz="0" w:space="0" w:color="auto"/>
        <w:bottom w:val="none" w:sz="0" w:space="0" w:color="auto"/>
        <w:right w:val="none" w:sz="0" w:space="0" w:color="auto"/>
      </w:divBdr>
    </w:div>
    <w:div w:id="804859845">
      <w:bodyDiv w:val="1"/>
      <w:marLeft w:val="0"/>
      <w:marRight w:val="0"/>
      <w:marTop w:val="0"/>
      <w:marBottom w:val="0"/>
      <w:divBdr>
        <w:top w:val="none" w:sz="0" w:space="0" w:color="auto"/>
        <w:left w:val="none" w:sz="0" w:space="0" w:color="auto"/>
        <w:bottom w:val="none" w:sz="0" w:space="0" w:color="auto"/>
        <w:right w:val="none" w:sz="0" w:space="0" w:color="auto"/>
      </w:divBdr>
    </w:div>
    <w:div w:id="827208856">
      <w:bodyDiv w:val="1"/>
      <w:marLeft w:val="0"/>
      <w:marRight w:val="0"/>
      <w:marTop w:val="0"/>
      <w:marBottom w:val="0"/>
      <w:divBdr>
        <w:top w:val="none" w:sz="0" w:space="0" w:color="auto"/>
        <w:left w:val="none" w:sz="0" w:space="0" w:color="auto"/>
        <w:bottom w:val="none" w:sz="0" w:space="0" w:color="auto"/>
        <w:right w:val="none" w:sz="0" w:space="0" w:color="auto"/>
      </w:divBdr>
    </w:div>
    <w:div w:id="969676467">
      <w:bodyDiv w:val="1"/>
      <w:marLeft w:val="0"/>
      <w:marRight w:val="0"/>
      <w:marTop w:val="0"/>
      <w:marBottom w:val="0"/>
      <w:divBdr>
        <w:top w:val="none" w:sz="0" w:space="0" w:color="auto"/>
        <w:left w:val="none" w:sz="0" w:space="0" w:color="auto"/>
        <w:bottom w:val="none" w:sz="0" w:space="0" w:color="auto"/>
        <w:right w:val="none" w:sz="0" w:space="0" w:color="auto"/>
      </w:divBdr>
    </w:div>
    <w:div w:id="991565952">
      <w:bodyDiv w:val="1"/>
      <w:marLeft w:val="0"/>
      <w:marRight w:val="0"/>
      <w:marTop w:val="0"/>
      <w:marBottom w:val="0"/>
      <w:divBdr>
        <w:top w:val="none" w:sz="0" w:space="0" w:color="auto"/>
        <w:left w:val="none" w:sz="0" w:space="0" w:color="auto"/>
        <w:bottom w:val="none" w:sz="0" w:space="0" w:color="auto"/>
        <w:right w:val="none" w:sz="0" w:space="0" w:color="auto"/>
      </w:divBdr>
    </w:div>
    <w:div w:id="1006637863">
      <w:bodyDiv w:val="1"/>
      <w:marLeft w:val="0"/>
      <w:marRight w:val="0"/>
      <w:marTop w:val="0"/>
      <w:marBottom w:val="0"/>
      <w:divBdr>
        <w:top w:val="none" w:sz="0" w:space="0" w:color="auto"/>
        <w:left w:val="none" w:sz="0" w:space="0" w:color="auto"/>
        <w:bottom w:val="none" w:sz="0" w:space="0" w:color="auto"/>
        <w:right w:val="none" w:sz="0" w:space="0" w:color="auto"/>
      </w:divBdr>
    </w:div>
    <w:div w:id="1015380571">
      <w:bodyDiv w:val="1"/>
      <w:marLeft w:val="0"/>
      <w:marRight w:val="0"/>
      <w:marTop w:val="0"/>
      <w:marBottom w:val="0"/>
      <w:divBdr>
        <w:top w:val="none" w:sz="0" w:space="0" w:color="auto"/>
        <w:left w:val="none" w:sz="0" w:space="0" w:color="auto"/>
        <w:bottom w:val="none" w:sz="0" w:space="0" w:color="auto"/>
        <w:right w:val="none" w:sz="0" w:space="0" w:color="auto"/>
      </w:divBdr>
    </w:div>
    <w:div w:id="1024752200">
      <w:bodyDiv w:val="1"/>
      <w:marLeft w:val="0"/>
      <w:marRight w:val="0"/>
      <w:marTop w:val="0"/>
      <w:marBottom w:val="0"/>
      <w:divBdr>
        <w:top w:val="none" w:sz="0" w:space="0" w:color="auto"/>
        <w:left w:val="none" w:sz="0" w:space="0" w:color="auto"/>
        <w:bottom w:val="none" w:sz="0" w:space="0" w:color="auto"/>
        <w:right w:val="none" w:sz="0" w:space="0" w:color="auto"/>
      </w:divBdr>
    </w:div>
    <w:div w:id="1069956803">
      <w:bodyDiv w:val="1"/>
      <w:marLeft w:val="0"/>
      <w:marRight w:val="0"/>
      <w:marTop w:val="0"/>
      <w:marBottom w:val="0"/>
      <w:divBdr>
        <w:top w:val="none" w:sz="0" w:space="0" w:color="auto"/>
        <w:left w:val="none" w:sz="0" w:space="0" w:color="auto"/>
        <w:bottom w:val="none" w:sz="0" w:space="0" w:color="auto"/>
        <w:right w:val="none" w:sz="0" w:space="0" w:color="auto"/>
      </w:divBdr>
    </w:div>
    <w:div w:id="1193375498">
      <w:bodyDiv w:val="1"/>
      <w:marLeft w:val="0"/>
      <w:marRight w:val="0"/>
      <w:marTop w:val="0"/>
      <w:marBottom w:val="0"/>
      <w:divBdr>
        <w:top w:val="none" w:sz="0" w:space="0" w:color="auto"/>
        <w:left w:val="none" w:sz="0" w:space="0" w:color="auto"/>
        <w:bottom w:val="none" w:sz="0" w:space="0" w:color="auto"/>
        <w:right w:val="none" w:sz="0" w:space="0" w:color="auto"/>
      </w:divBdr>
    </w:div>
    <w:div w:id="1268276513">
      <w:bodyDiv w:val="1"/>
      <w:marLeft w:val="0"/>
      <w:marRight w:val="0"/>
      <w:marTop w:val="0"/>
      <w:marBottom w:val="0"/>
      <w:divBdr>
        <w:top w:val="none" w:sz="0" w:space="0" w:color="auto"/>
        <w:left w:val="none" w:sz="0" w:space="0" w:color="auto"/>
        <w:bottom w:val="none" w:sz="0" w:space="0" w:color="auto"/>
        <w:right w:val="none" w:sz="0" w:space="0" w:color="auto"/>
      </w:divBdr>
    </w:div>
    <w:div w:id="1297906458">
      <w:bodyDiv w:val="1"/>
      <w:marLeft w:val="0"/>
      <w:marRight w:val="0"/>
      <w:marTop w:val="0"/>
      <w:marBottom w:val="0"/>
      <w:divBdr>
        <w:top w:val="none" w:sz="0" w:space="0" w:color="auto"/>
        <w:left w:val="none" w:sz="0" w:space="0" w:color="auto"/>
        <w:bottom w:val="none" w:sz="0" w:space="0" w:color="auto"/>
        <w:right w:val="none" w:sz="0" w:space="0" w:color="auto"/>
      </w:divBdr>
    </w:div>
    <w:div w:id="1298610393">
      <w:bodyDiv w:val="1"/>
      <w:marLeft w:val="0"/>
      <w:marRight w:val="0"/>
      <w:marTop w:val="0"/>
      <w:marBottom w:val="0"/>
      <w:divBdr>
        <w:top w:val="none" w:sz="0" w:space="0" w:color="auto"/>
        <w:left w:val="none" w:sz="0" w:space="0" w:color="auto"/>
        <w:bottom w:val="none" w:sz="0" w:space="0" w:color="auto"/>
        <w:right w:val="none" w:sz="0" w:space="0" w:color="auto"/>
      </w:divBdr>
    </w:div>
    <w:div w:id="1349258532">
      <w:bodyDiv w:val="1"/>
      <w:marLeft w:val="0"/>
      <w:marRight w:val="0"/>
      <w:marTop w:val="0"/>
      <w:marBottom w:val="0"/>
      <w:divBdr>
        <w:top w:val="none" w:sz="0" w:space="0" w:color="auto"/>
        <w:left w:val="none" w:sz="0" w:space="0" w:color="auto"/>
        <w:bottom w:val="none" w:sz="0" w:space="0" w:color="auto"/>
        <w:right w:val="none" w:sz="0" w:space="0" w:color="auto"/>
      </w:divBdr>
    </w:div>
    <w:div w:id="1383942159">
      <w:bodyDiv w:val="1"/>
      <w:marLeft w:val="0"/>
      <w:marRight w:val="0"/>
      <w:marTop w:val="0"/>
      <w:marBottom w:val="0"/>
      <w:divBdr>
        <w:top w:val="none" w:sz="0" w:space="0" w:color="auto"/>
        <w:left w:val="none" w:sz="0" w:space="0" w:color="auto"/>
        <w:bottom w:val="none" w:sz="0" w:space="0" w:color="auto"/>
        <w:right w:val="none" w:sz="0" w:space="0" w:color="auto"/>
      </w:divBdr>
    </w:div>
    <w:div w:id="1447194306">
      <w:bodyDiv w:val="1"/>
      <w:marLeft w:val="0"/>
      <w:marRight w:val="0"/>
      <w:marTop w:val="0"/>
      <w:marBottom w:val="0"/>
      <w:divBdr>
        <w:top w:val="none" w:sz="0" w:space="0" w:color="auto"/>
        <w:left w:val="none" w:sz="0" w:space="0" w:color="auto"/>
        <w:bottom w:val="none" w:sz="0" w:space="0" w:color="auto"/>
        <w:right w:val="none" w:sz="0" w:space="0" w:color="auto"/>
      </w:divBdr>
    </w:div>
    <w:div w:id="1465267855">
      <w:bodyDiv w:val="1"/>
      <w:marLeft w:val="0"/>
      <w:marRight w:val="0"/>
      <w:marTop w:val="0"/>
      <w:marBottom w:val="0"/>
      <w:divBdr>
        <w:top w:val="none" w:sz="0" w:space="0" w:color="auto"/>
        <w:left w:val="none" w:sz="0" w:space="0" w:color="auto"/>
        <w:bottom w:val="none" w:sz="0" w:space="0" w:color="auto"/>
        <w:right w:val="none" w:sz="0" w:space="0" w:color="auto"/>
      </w:divBdr>
    </w:div>
    <w:div w:id="1506479454">
      <w:bodyDiv w:val="1"/>
      <w:marLeft w:val="0"/>
      <w:marRight w:val="0"/>
      <w:marTop w:val="0"/>
      <w:marBottom w:val="0"/>
      <w:divBdr>
        <w:top w:val="none" w:sz="0" w:space="0" w:color="auto"/>
        <w:left w:val="none" w:sz="0" w:space="0" w:color="auto"/>
        <w:bottom w:val="none" w:sz="0" w:space="0" w:color="auto"/>
        <w:right w:val="none" w:sz="0" w:space="0" w:color="auto"/>
      </w:divBdr>
    </w:div>
    <w:div w:id="1547374548">
      <w:bodyDiv w:val="1"/>
      <w:marLeft w:val="0"/>
      <w:marRight w:val="0"/>
      <w:marTop w:val="0"/>
      <w:marBottom w:val="0"/>
      <w:divBdr>
        <w:top w:val="none" w:sz="0" w:space="0" w:color="auto"/>
        <w:left w:val="none" w:sz="0" w:space="0" w:color="auto"/>
        <w:bottom w:val="none" w:sz="0" w:space="0" w:color="auto"/>
        <w:right w:val="none" w:sz="0" w:space="0" w:color="auto"/>
      </w:divBdr>
    </w:div>
    <w:div w:id="1620839480">
      <w:bodyDiv w:val="1"/>
      <w:marLeft w:val="0"/>
      <w:marRight w:val="0"/>
      <w:marTop w:val="0"/>
      <w:marBottom w:val="0"/>
      <w:divBdr>
        <w:top w:val="none" w:sz="0" w:space="0" w:color="auto"/>
        <w:left w:val="none" w:sz="0" w:space="0" w:color="auto"/>
        <w:bottom w:val="none" w:sz="0" w:space="0" w:color="auto"/>
        <w:right w:val="none" w:sz="0" w:space="0" w:color="auto"/>
      </w:divBdr>
    </w:div>
    <w:div w:id="1659310390">
      <w:bodyDiv w:val="1"/>
      <w:marLeft w:val="0"/>
      <w:marRight w:val="0"/>
      <w:marTop w:val="0"/>
      <w:marBottom w:val="0"/>
      <w:divBdr>
        <w:top w:val="none" w:sz="0" w:space="0" w:color="auto"/>
        <w:left w:val="none" w:sz="0" w:space="0" w:color="auto"/>
        <w:bottom w:val="none" w:sz="0" w:space="0" w:color="auto"/>
        <w:right w:val="none" w:sz="0" w:space="0" w:color="auto"/>
      </w:divBdr>
    </w:div>
    <w:div w:id="1705129317">
      <w:bodyDiv w:val="1"/>
      <w:marLeft w:val="0"/>
      <w:marRight w:val="0"/>
      <w:marTop w:val="0"/>
      <w:marBottom w:val="0"/>
      <w:divBdr>
        <w:top w:val="none" w:sz="0" w:space="0" w:color="auto"/>
        <w:left w:val="none" w:sz="0" w:space="0" w:color="auto"/>
        <w:bottom w:val="none" w:sz="0" w:space="0" w:color="auto"/>
        <w:right w:val="none" w:sz="0" w:space="0" w:color="auto"/>
      </w:divBdr>
    </w:div>
    <w:div w:id="1748569761">
      <w:bodyDiv w:val="1"/>
      <w:marLeft w:val="0"/>
      <w:marRight w:val="0"/>
      <w:marTop w:val="0"/>
      <w:marBottom w:val="0"/>
      <w:divBdr>
        <w:top w:val="none" w:sz="0" w:space="0" w:color="auto"/>
        <w:left w:val="none" w:sz="0" w:space="0" w:color="auto"/>
        <w:bottom w:val="none" w:sz="0" w:space="0" w:color="auto"/>
        <w:right w:val="none" w:sz="0" w:space="0" w:color="auto"/>
      </w:divBdr>
    </w:div>
    <w:div w:id="1794210969">
      <w:bodyDiv w:val="1"/>
      <w:marLeft w:val="0"/>
      <w:marRight w:val="0"/>
      <w:marTop w:val="0"/>
      <w:marBottom w:val="0"/>
      <w:divBdr>
        <w:top w:val="none" w:sz="0" w:space="0" w:color="auto"/>
        <w:left w:val="none" w:sz="0" w:space="0" w:color="auto"/>
        <w:bottom w:val="none" w:sz="0" w:space="0" w:color="auto"/>
        <w:right w:val="none" w:sz="0" w:space="0" w:color="auto"/>
      </w:divBdr>
    </w:div>
    <w:div w:id="1795826138">
      <w:bodyDiv w:val="1"/>
      <w:marLeft w:val="0"/>
      <w:marRight w:val="0"/>
      <w:marTop w:val="0"/>
      <w:marBottom w:val="0"/>
      <w:divBdr>
        <w:top w:val="none" w:sz="0" w:space="0" w:color="auto"/>
        <w:left w:val="none" w:sz="0" w:space="0" w:color="auto"/>
        <w:bottom w:val="none" w:sz="0" w:space="0" w:color="auto"/>
        <w:right w:val="none" w:sz="0" w:space="0" w:color="auto"/>
      </w:divBdr>
    </w:div>
    <w:div w:id="1925144543">
      <w:bodyDiv w:val="1"/>
      <w:marLeft w:val="0"/>
      <w:marRight w:val="0"/>
      <w:marTop w:val="0"/>
      <w:marBottom w:val="0"/>
      <w:divBdr>
        <w:top w:val="none" w:sz="0" w:space="0" w:color="auto"/>
        <w:left w:val="none" w:sz="0" w:space="0" w:color="auto"/>
        <w:bottom w:val="none" w:sz="0" w:space="0" w:color="auto"/>
        <w:right w:val="none" w:sz="0" w:space="0" w:color="auto"/>
      </w:divBdr>
    </w:div>
    <w:div w:id="1952131921">
      <w:bodyDiv w:val="1"/>
      <w:marLeft w:val="0"/>
      <w:marRight w:val="0"/>
      <w:marTop w:val="0"/>
      <w:marBottom w:val="0"/>
      <w:divBdr>
        <w:top w:val="none" w:sz="0" w:space="0" w:color="auto"/>
        <w:left w:val="none" w:sz="0" w:space="0" w:color="auto"/>
        <w:bottom w:val="none" w:sz="0" w:space="0" w:color="auto"/>
        <w:right w:val="none" w:sz="0" w:space="0" w:color="auto"/>
      </w:divBdr>
    </w:div>
    <w:div w:id="1967544022">
      <w:bodyDiv w:val="1"/>
      <w:marLeft w:val="0"/>
      <w:marRight w:val="0"/>
      <w:marTop w:val="0"/>
      <w:marBottom w:val="0"/>
      <w:divBdr>
        <w:top w:val="none" w:sz="0" w:space="0" w:color="auto"/>
        <w:left w:val="none" w:sz="0" w:space="0" w:color="auto"/>
        <w:bottom w:val="none" w:sz="0" w:space="0" w:color="auto"/>
        <w:right w:val="none" w:sz="0" w:space="0" w:color="auto"/>
      </w:divBdr>
    </w:div>
    <w:div w:id="1972903941">
      <w:bodyDiv w:val="1"/>
      <w:marLeft w:val="0"/>
      <w:marRight w:val="0"/>
      <w:marTop w:val="0"/>
      <w:marBottom w:val="0"/>
      <w:divBdr>
        <w:top w:val="none" w:sz="0" w:space="0" w:color="auto"/>
        <w:left w:val="none" w:sz="0" w:space="0" w:color="auto"/>
        <w:bottom w:val="none" w:sz="0" w:space="0" w:color="auto"/>
        <w:right w:val="none" w:sz="0" w:space="0" w:color="auto"/>
      </w:divBdr>
    </w:div>
    <w:div w:id="1979262596">
      <w:bodyDiv w:val="1"/>
      <w:marLeft w:val="0"/>
      <w:marRight w:val="0"/>
      <w:marTop w:val="0"/>
      <w:marBottom w:val="0"/>
      <w:divBdr>
        <w:top w:val="none" w:sz="0" w:space="0" w:color="auto"/>
        <w:left w:val="none" w:sz="0" w:space="0" w:color="auto"/>
        <w:bottom w:val="none" w:sz="0" w:space="0" w:color="auto"/>
        <w:right w:val="none" w:sz="0" w:space="0" w:color="auto"/>
      </w:divBdr>
    </w:div>
    <w:div w:id="2060128195">
      <w:bodyDiv w:val="1"/>
      <w:marLeft w:val="0"/>
      <w:marRight w:val="0"/>
      <w:marTop w:val="0"/>
      <w:marBottom w:val="0"/>
      <w:divBdr>
        <w:top w:val="none" w:sz="0" w:space="0" w:color="auto"/>
        <w:left w:val="none" w:sz="0" w:space="0" w:color="auto"/>
        <w:bottom w:val="none" w:sz="0" w:space="0" w:color="auto"/>
        <w:right w:val="none" w:sz="0" w:space="0" w:color="auto"/>
      </w:divBdr>
    </w:div>
    <w:div w:id="206459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196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961-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E06ED-52C0-49C8-8B12-02B2BFC8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18921</Words>
  <Characters>10785</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Ольга Миколаївна</dc:creator>
  <cp:keywords/>
  <dc:description/>
  <cp:lastModifiedBy>Ященко Ольга Миколаївна</cp:lastModifiedBy>
  <cp:revision>3</cp:revision>
  <dcterms:created xsi:type="dcterms:W3CDTF">2024-11-06T10:22:00Z</dcterms:created>
  <dcterms:modified xsi:type="dcterms:W3CDTF">2024-11-06T11:19:00Z</dcterms:modified>
</cp:coreProperties>
</file>